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jc w:val="both"/>
        <w:spacing w:before="120" w:after="120" w:line="360" w:lineRule="auto"/>
        <w:shd w:val="clear" w:color="auto" w:fill="ffffff" w:themeFill="background1"/>
        <w:rPr>
          <w:rFonts w:hint="eastAsia" w:ascii="宋体" w:hAnsi="宋体" w:eastAsia="宋体" w:cs="宋体"/>
          <w:b/>
          <w:bCs/>
          <w:color w:val="auto"/>
          <w:sz w:val="84"/>
          <w:szCs w:val="24"/>
          <w:highlight w:val="none"/>
        </w:rPr>
      </w:pPr>
      <w:r/>
      <w:bookmarkStart w:id="149" w:name="_GoBack"/>
      <w:r/>
      <w:r/>
    </w:p>
    <w:p>
      <w:pPr>
        <w:ind w:firstLine="1687"/>
        <w:jc w:val="both"/>
        <w:spacing w:before="120" w:after="120" w:line="360" w:lineRule="auto"/>
        <w:shd w:val="clear" w:color="auto" w:fill="ffffff" w:themeFill="background1"/>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t xml:space="preserve">竞争性磋商文件</w:t>
      </w:r>
      <w:r/>
    </w:p>
    <w:p>
      <w:pPr>
        <w:ind w:firstLine="1506"/>
        <w:shd w:val="clear" w:color="auto" w:fill="ffffff" w:themeFill="background1"/>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1506"/>
        <w:shd w:val="clear" w:color="auto" w:fill="ffffff" w:themeFill="background1"/>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1506"/>
        <w:shd w:val="clear" w:color="auto" w:fill="ffffff" w:themeFill="background1"/>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left="596" w:firstLine="690"/>
        <w:shd w:val="clear" w:color="auto" w:fill="ffffff" w:themeFill="background1"/>
        <w:rPr>
          <w:rFonts w:hint="eastAsia" w:ascii="宋体" w:hAnsi="宋体" w:cs="宋体"/>
          <w:b/>
          <w:color w:val="auto"/>
          <w:sz w:val="32"/>
          <w:highlight w:val="none"/>
          <w:u w:val="single"/>
          <w:lang w:eastAsia="zh-CN"/>
        </w:rPr>
      </w:pPr>
      <w:r>
        <w:rPr>
          <w:rFonts w:hint="eastAsia" w:ascii="宋体" w:hAnsi="宋体" w:eastAsia="宋体" w:cs="宋体"/>
          <w:b/>
          <w:color w:val="auto"/>
          <w:sz w:val="30"/>
          <w:szCs w:val="30"/>
          <w:highlight w:val="none"/>
        </w:rPr>
        <w:t xml:space="preserve">项目名称：</w:t>
      </w:r>
      <w:r>
        <w:rPr>
          <w:rFonts w:hint="eastAsia" w:ascii="宋体" w:hAnsi="宋体" w:cs="宋体"/>
          <w:b/>
          <w:color w:val="auto"/>
          <w:sz w:val="32"/>
          <w:highlight w:val="none"/>
          <w:u w:val="single"/>
          <w:lang w:eastAsia="zh-CN"/>
        </w:rPr>
        <w:t xml:space="preserve">泗洪县(2026-2027年度)残疾人综合意</w:t>
      </w:r>
      <w:r/>
    </w:p>
    <w:p>
      <w:pPr>
        <w:ind w:left="596" w:firstLine="2332"/>
        <w:shd w:val="clear" w:color="auto" w:fill="ffffff" w:themeFill="background1"/>
        <w:rPr>
          <w:rFonts w:hint="eastAsia" w:ascii="宋体" w:hAnsi="宋体" w:eastAsia="宋体" w:cs="宋体"/>
          <w:b/>
          <w:color w:val="auto"/>
          <w:sz w:val="30"/>
          <w:szCs w:val="30"/>
          <w:highlight w:val="none"/>
        </w:rPr>
      </w:pPr>
      <w:r>
        <w:rPr>
          <w:rFonts w:hint="eastAsia" w:ascii="宋体" w:hAnsi="宋体" w:cs="宋体"/>
          <w:b/>
          <w:color w:val="auto"/>
          <w:sz w:val="32"/>
          <w:highlight w:val="none"/>
          <w:u w:val="single"/>
          <w:lang w:eastAsia="zh-CN"/>
        </w:rPr>
        <w:t xml:space="preserve">外险采购项目</w:t>
      </w:r>
      <w:r>
        <w:rPr>
          <w:rFonts w:hint="eastAsia" w:ascii="宋体" w:hAnsi="宋体" w:eastAsia="宋体" w:cs="宋体"/>
          <w:b/>
          <w:color w:val="auto"/>
          <w:sz w:val="30"/>
          <w:szCs w:val="30"/>
          <w:highlight w:val="none"/>
        </w:rPr>
        <w:t xml:space="preserve"> </w:t>
      </w:r>
      <w:r/>
    </w:p>
    <w:p>
      <w:pPr>
        <w:ind w:left="3155" w:hanging="2202"/>
        <w:shd w:val="clear" w:color="auto" w:fill="ffffff" w:themeFill="background1"/>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left="3155" w:hanging="2202"/>
        <w:shd w:val="clear" w:color="auto" w:fill="ffffff" w:themeFill="background1"/>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left="3155" w:hanging="2202"/>
        <w:shd w:val="clear" w:color="auto" w:fill="ffffff" w:themeFill="background1"/>
        <w:rPr>
          <w:rFonts w:hint="eastAsia" w:ascii="宋体" w:hAnsi="宋体" w:eastAsia="宋体" w:cs="宋体"/>
          <w:color w:val="auto"/>
          <w:sz w:val="28"/>
          <w:szCs w:val="28"/>
          <w:highlight w:val="none"/>
          <w:u w:val="single"/>
          <w:lang w:val="en-US" w:eastAsia="zh-CN"/>
        </w:rPr>
      </w:pPr>
      <w:r>
        <w:rPr>
          <w:rFonts w:hint="eastAsia" w:ascii="宋体" w:hAnsi="宋体" w:eastAsia="宋体" w:cs="宋体"/>
          <w:b/>
          <w:color w:val="auto"/>
          <w:sz w:val="30"/>
          <w:szCs w:val="30"/>
          <w:highlight w:val="none"/>
        </w:rPr>
        <w:t xml:space="preserve">项目编号：</w:t>
      </w:r>
      <w:r>
        <w:rPr>
          <w:rFonts w:hint="eastAsia" w:ascii="宋体" w:hAnsi="宋体" w:cs="宋体"/>
          <w:b/>
          <w:color w:val="auto"/>
          <w:sz w:val="30"/>
          <w:szCs w:val="30"/>
          <w:highlight w:val="none"/>
          <w:u w:val="single"/>
          <w:lang w:eastAsia="zh-CN"/>
        </w:rPr>
        <w:t xml:space="preserve">JSZC-321324-XSZX-C2025-0017</w:t>
      </w:r>
      <w:r/>
    </w:p>
    <w:p>
      <w:pPr>
        <w:ind w:left="2800" w:hanging="2800"/>
        <w:shd w:val="clear" w:color="auto" w:fill="ffffff" w:themeFill="background1"/>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b/>
          <w:color w:val="auto"/>
          <w:sz w:val="28"/>
          <w:szCs w:val="28"/>
          <w:highlight w:val="none"/>
        </w:rPr>
        <w:t xml:space="preserve"> </w:t>
      </w:r>
      <w:r/>
    </w:p>
    <w:p>
      <w:pPr>
        <w:jc w:val="left"/>
        <w:spacing w:line="360" w:lineRule="auto"/>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033"/>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0" w:name="_Toc8605"/>
      <w:r>
        <w:rPr>
          <w:rFonts w:hint="eastAsia" w:ascii="宋体" w:hAnsi="宋体" w:eastAsia="宋体" w:cs="宋体"/>
          <w:b/>
          <w:color w:val="auto"/>
          <w:sz w:val="30"/>
          <w:highlight w:val="none"/>
        </w:rPr>
        <w:t xml:space="preserve">（</w:t>
      </w:r>
      <w:r>
        <w:rPr>
          <w:rFonts w:hint="eastAsia" w:ascii="宋体" w:hAnsi="宋体" w:cs="宋体"/>
          <w:b/>
          <w:color w:val="auto"/>
          <w:sz w:val="30"/>
          <w:highlight w:val="none"/>
          <w:u w:val="single"/>
          <w:lang w:val="en-US" w:eastAsia="zh-CN"/>
        </w:rPr>
        <w:t xml:space="preserve">服务</w:t>
      </w:r>
      <w:r>
        <w:rPr>
          <w:rFonts w:hint="eastAsia" w:ascii="宋体" w:hAnsi="宋体" w:eastAsia="宋体" w:cs="宋体"/>
          <w:b/>
          <w:color w:val="auto"/>
          <w:sz w:val="30"/>
          <w:highlight w:val="none"/>
        </w:rPr>
        <w:t xml:space="preserve">类项目，</w:t>
      </w:r>
      <w:r>
        <w:rPr>
          <w:rFonts w:hint="eastAsia" w:ascii="宋体" w:hAnsi="宋体" w:eastAsia="宋体" w:cs="宋体"/>
          <w:b/>
          <w:color w:val="auto"/>
          <w:sz w:val="30"/>
          <w:highlight w:val="none"/>
          <w:lang w:val="en-US" w:eastAsia="zh-CN"/>
        </w:rPr>
        <w:t xml:space="preserve">本项目</w:t>
      </w:r>
      <w:r>
        <w:rPr>
          <w:rFonts w:hint="eastAsia" w:ascii="宋体" w:hAnsi="宋体" w:cs="宋体"/>
          <w:b/>
          <w:color w:val="auto"/>
          <w:sz w:val="30"/>
          <w:highlight w:val="none"/>
          <w:u w:val="single"/>
          <w:lang w:val="en-US" w:eastAsia="zh-CN"/>
        </w:rPr>
        <w:t xml:space="preserve">不</w:t>
      </w:r>
      <w:r>
        <w:rPr>
          <w:rFonts w:hint="eastAsia" w:ascii="宋体" w:hAnsi="宋体" w:eastAsia="宋体" w:cs="宋体"/>
          <w:b/>
          <w:color w:val="auto"/>
          <w:sz w:val="30"/>
          <w:highlight w:val="none"/>
          <w:u w:val="single"/>
        </w:rPr>
        <w:t xml:space="preserve">专</w:t>
      </w:r>
      <w:r>
        <w:rPr>
          <w:rFonts w:hint="eastAsia" w:ascii="宋体" w:hAnsi="宋体" w:eastAsia="宋体" w:cs="宋体"/>
          <w:b/>
          <w:color w:val="auto"/>
          <w:sz w:val="30"/>
          <w:highlight w:val="none"/>
        </w:rPr>
        <w:t xml:space="preserve">门面向中小企业）</w:t>
      </w:r>
      <w:bookmarkEnd w:id="0"/>
      <w:r/>
      <w:r/>
    </w:p>
    <w:p>
      <w:pPr>
        <w:jc w:val="left"/>
        <w:spacing w:line="360" w:lineRule="auto"/>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86"/>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b/>
                <w:bCs/>
                <w:color w:val="auto"/>
                <w:spacing w:val="45"/>
                <w:sz w:val="32"/>
                <w:szCs w:val="24"/>
                <w:highlight w:val="none"/>
              </w:rPr>
              <w:t xml:space="preserve">采  购 人</w:t>
            </w:r>
            <w:r>
              <w:rPr>
                <w:rFonts w:hint="eastAsia" w:ascii="宋体" w:hAnsi="宋体" w:eastAsia="宋体" w:cs="宋体"/>
                <w:b/>
                <w:bCs/>
                <w:color w:val="auto"/>
                <w:spacing w:val="1"/>
                <w:sz w:val="32"/>
                <w:szCs w:val="24"/>
                <w:highlight w:val="none"/>
              </w:rPr>
              <w:t xml:space="preserve">：</w:t>
            </w:r>
            <w:r/>
          </w:p>
        </w:tc>
        <w:tc>
          <w:tcPr>
            <w:tcW w:w="4677" w:type="dxa"/>
            <w:vAlign w:val="center"/>
            <w:textDirection w:val="lrTb"/>
            <w:noWrap w:val="false"/>
          </w:tcPr>
          <w:p>
            <w:pPr>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cs="宋体"/>
                <w:b/>
                <w:bCs/>
                <w:color w:val="auto"/>
                <w:sz w:val="32"/>
                <w:szCs w:val="24"/>
                <w:highlight w:val="none"/>
                <w:lang w:eastAsia="zh-CN"/>
              </w:rPr>
              <w:t xml:space="preserve">泗洪县残疾人联合会</w:t>
            </w:r>
            <w:r/>
          </w:p>
        </w:tc>
      </w:tr>
      <w:tr>
        <w:trPr>
          <w:jc w:val="center"/>
          <w:trHeight w:val="617"/>
        </w:trPr>
        <w:tc>
          <w:tcPr>
            <w:tcW w:w="2923" w:type="dxa"/>
            <w:vAlign w:val="center"/>
            <w:textDirection w:val="lrTb"/>
            <w:noWrap w:val="false"/>
          </w:tcPr>
          <w:p>
            <w:pPr>
              <w:jc w:val="center"/>
              <w:spacing w:line="500" w:lineRule="exact"/>
              <w:shd w:val="clear" w:color="auto" w:fill="ffffff" w:themeFill="background1"/>
              <w:rPr>
                <w:rFonts w:hint="eastAsia" w:ascii="宋体" w:hAnsi="宋体" w:eastAsia="宋体" w:cs="宋体"/>
                <w:b/>
                <w:bCs/>
                <w:color w:val="auto"/>
                <w:spacing w:val="45"/>
                <w:sz w:val="32"/>
                <w:szCs w:val="24"/>
                <w:highlight w:val="none"/>
              </w:rPr>
            </w:pPr>
            <w:r>
              <w:rPr>
                <w:rFonts w:hint="eastAsia" w:ascii="宋体" w:hAnsi="宋体" w:eastAsia="宋体" w:cs="宋体"/>
                <w:b/>
                <w:bCs/>
                <w:color w:val="auto"/>
                <w:sz w:val="32"/>
                <w:szCs w:val="24"/>
                <w:highlight w:val="none"/>
              </w:rPr>
              <w:t xml:space="preserve">采购代理机构：</w:t>
            </w:r>
            <w:r/>
          </w:p>
        </w:tc>
        <w:tc>
          <w:tcPr>
            <w:tcW w:w="4677" w:type="dxa"/>
            <w:vAlign w:val="center"/>
            <w:textDirection w:val="lrTb"/>
            <w:noWrap w:val="false"/>
          </w:tcPr>
          <w:p>
            <w:pPr>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cs="宋体"/>
                <w:b/>
                <w:bCs/>
                <w:color w:val="auto"/>
                <w:sz w:val="32"/>
                <w:szCs w:val="24"/>
                <w:highlight w:val="none"/>
                <w:lang w:eastAsia="zh-CN"/>
              </w:rPr>
              <w:t xml:space="preserve">江苏襄盛工程咨询有限公司</w:t>
            </w:r>
            <w:r/>
          </w:p>
        </w:tc>
      </w:tr>
    </w:tbl>
    <w:p>
      <w:pPr>
        <w:jc w:val="both"/>
        <w:spacing w:before="120" w:after="120" w:line="360" w:lineRule="auto"/>
        <w:shd w:val="clear" w:color="auto" w:fill="ffffff" w:themeFill="background1"/>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jc w:val="center"/>
        <w:spacing w:before="120" w:after="120" w:line="360" w:lineRule="auto"/>
        <w:shd w:val="clear" w:color="auto" w:fill="ffffff" w:themeFill="background1"/>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jc w:val="center"/>
        <w:spacing w:before="120" w:after="120" w:line="360" w:lineRule="auto"/>
        <w:shd w:val="clear" w:color="auto" w:fill="ffffff" w:themeFill="background1"/>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t xml:space="preserve">2025年</w:t>
      </w:r>
      <w:r>
        <w:rPr>
          <w:rFonts w:hint="eastAsia" w:ascii="宋体" w:hAnsi="宋体" w:cs="宋体"/>
          <w:b/>
          <w:color w:val="auto"/>
          <w:sz w:val="32"/>
          <w:szCs w:val="24"/>
          <w:highlight w:val="none"/>
          <w:lang w:val="en-US" w:eastAsia="zh-CN"/>
        </w:rPr>
        <w:t xml:space="preserve">12</w:t>
      </w:r>
      <w:r>
        <w:rPr>
          <w:rFonts w:hint="eastAsia" w:ascii="宋体" w:hAnsi="宋体" w:eastAsia="宋体" w:cs="宋体"/>
          <w:b/>
          <w:color w:val="auto"/>
          <w:sz w:val="32"/>
          <w:szCs w:val="24"/>
          <w:highlight w:val="none"/>
        </w:rPr>
        <w:t xml:space="preserve">月</w:t>
      </w:r>
      <w:r>
        <w:rPr>
          <w:rFonts w:hint="eastAsia" w:ascii="宋体" w:hAnsi="宋体" w:cs="宋体"/>
          <w:b/>
          <w:color w:val="auto"/>
          <w:sz w:val="32"/>
          <w:szCs w:val="24"/>
          <w:highlight w:val="none"/>
          <w:lang w:val="en-US" w:eastAsia="zh-CN"/>
        </w:rPr>
        <w:t xml:space="preserve">17</w:t>
      </w:r>
      <w:r>
        <w:rPr>
          <w:rFonts w:hint="eastAsia" w:ascii="宋体" w:hAnsi="宋体" w:eastAsia="宋体" w:cs="宋体"/>
          <w:b/>
          <w:color w:val="auto"/>
          <w:sz w:val="32"/>
          <w:szCs w:val="24"/>
          <w:highlight w:val="none"/>
        </w:rPr>
        <w:t xml:space="preserve">日</w:t>
      </w:r>
      <w:r/>
    </w:p>
    <w:p>
      <w:pPr>
        <w:jc w:val="center"/>
        <w:shd w:val="clear" w:color="auto" w:fill="ffffff" w:themeFill="background1"/>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shd w:val="clear" w:color="auto" w:fill="ffffff" w:themeFill="background1"/>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shd w:val="clear" w:color="auto" w:fill="ffffff" w:themeFill="background1"/>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shd w:val="clear" w:color="auto" w:fill="ffffff" w:themeFill="background1"/>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shd w:val="clear" w:color="auto" w:fill="ffffff" w:themeFill="background1"/>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shd w:val="clear" w:color="auto" w:fill="ffffff" w:themeFill="background1"/>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shd w:val="clear" w:color="auto" w:fill="ffffff" w:themeFill="background1"/>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sdt>
      <w:sdtPr>
        <w15:appearance w15:val="boundingBox"/>
        <w15:color w:val="dbdbdb"/>
        <w:id w:val="147480870"/>
        <w:docPartObj>
          <w:docPartGallery w:val="Table of Contents"/>
          <w:docPartUnique w:val="true"/>
        </w:docPartObj>
        <w:rPr>
          <w:rFonts w:hint="default"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sz w:val="48"/>
              <w:szCs w:val="52"/>
              <w:highlight w:val="none"/>
            </w:rPr>
          </w:pPr>
          <w:r>
            <w:rPr>
              <w:rFonts w:ascii="宋体" w:hAnsi="宋体" w:eastAsia="宋体"/>
              <w:color w:val="auto"/>
              <w:sz w:val="48"/>
              <w:szCs w:val="52"/>
              <w:highlight w:val="none"/>
            </w:rPr>
            <w:t xml:space="preserve">目录</w:t>
          </w:r>
          <w:r>
            <w:rPr>
              <w:rFonts w:hint="eastAsia" w:ascii="宋体" w:hAnsi="宋体" w:eastAsia="宋体" w:cs="宋体"/>
              <w:color w:val="auto"/>
              <w:sz w:val="72"/>
              <w:szCs w:val="52"/>
              <w:highlight w:val="none"/>
            </w:rPr>
            <w:fldChar w:fldCharType="begin"/>
          </w:r>
          <w:r>
            <w:rPr>
              <w:rFonts w:hint="eastAsia" w:ascii="宋体" w:hAnsi="宋体" w:eastAsia="宋体" w:cs="宋体"/>
              <w:color w:val="auto"/>
              <w:sz w:val="72"/>
              <w:szCs w:val="52"/>
              <w:highlight w:val="none"/>
            </w:rPr>
            <w:instrText xml:space="preserve">TOC \o "1-1" \h \u </w:instrText>
          </w:r>
          <w:r>
            <w:rPr>
              <w:rFonts w:hint="eastAsia" w:ascii="宋体" w:hAnsi="宋体" w:eastAsia="宋体" w:cs="宋体"/>
              <w:color w:val="auto"/>
              <w:sz w:val="72"/>
              <w:szCs w:val="52"/>
              <w:highlight w:val="none"/>
            </w:rPr>
            <w:fldChar w:fldCharType="separate"/>
          </w:r>
          <w:r/>
        </w:p>
        <w:p>
          <w:pPr>
            <w:pStyle w:val="801"/>
            <w:tabs>
              <w:tab w:val="right" w:pos="8306" w:leader="dot"/>
            </w:tabs>
            <w:rPr>
              <w:color w:val="auto"/>
              <w:sz w:val="44"/>
              <w:szCs w:val="44"/>
              <w:highlight w:val="none"/>
            </w:rPr>
          </w:pPr>
          <w:r>
            <w:rPr>
              <w:rFonts w:hint="eastAsia" w:ascii="宋体" w:hAnsi="宋体" w:eastAsia="宋体" w:cs="宋体"/>
              <w:color w:val="auto"/>
              <w:sz w:val="44"/>
              <w:szCs w:val="44"/>
              <w:highlight w:val="none"/>
            </w:rPr>
            <w:fldChar w:fldCharType="begin"/>
          </w:r>
          <w:r>
            <w:rPr>
              <w:rFonts w:hint="eastAsia" w:ascii="宋体" w:hAnsi="宋体" w:eastAsia="宋体" w:cs="宋体"/>
              <w:color w:val="auto"/>
              <w:sz w:val="44"/>
              <w:szCs w:val="44"/>
              <w:highlight w:val="none"/>
            </w:rPr>
            <w:instrText xml:space="preserve"> HYPERLINK \l _Toc23455 </w:instrText>
          </w:r>
          <w:r>
            <w:rPr>
              <w:rFonts w:hint="eastAsia" w:ascii="宋体" w:hAnsi="宋体" w:eastAsia="宋体" w:cs="宋体"/>
              <w:color w:val="auto"/>
              <w:sz w:val="44"/>
              <w:szCs w:val="44"/>
              <w:highlight w:val="none"/>
            </w:rPr>
            <w:fldChar w:fldCharType="separate"/>
          </w:r>
          <w:r>
            <w:rPr>
              <w:rFonts w:hint="eastAsia" w:ascii="宋体" w:hAnsi="宋体" w:eastAsia="宋体" w:cs="宋体"/>
              <w:color w:val="auto"/>
              <w:sz w:val="44"/>
              <w:szCs w:val="144"/>
              <w:highlight w:val="none"/>
            </w:rPr>
            <w:t xml:space="preserve">第一章 磋商邀请</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_Toc23455 \h </w:instrText>
          </w:r>
          <w:r>
            <w:rPr>
              <w:color w:val="auto"/>
              <w:sz w:val="44"/>
              <w:szCs w:val="44"/>
              <w:highlight w:val="none"/>
            </w:rPr>
            <w:fldChar w:fldCharType="separate"/>
          </w:r>
          <w:r>
            <w:rPr>
              <w:color w:val="auto"/>
              <w:sz w:val="44"/>
              <w:szCs w:val="44"/>
              <w:highlight w:val="none"/>
            </w:rPr>
            <w:t xml:space="preserve">3</w:t>
          </w:r>
          <w:r>
            <w:rPr>
              <w:color w:val="auto"/>
              <w:sz w:val="44"/>
              <w:szCs w:val="44"/>
              <w:highlight w:val="none"/>
            </w:rPr>
            <w:fldChar w:fldCharType="end"/>
          </w:r>
          <w:r>
            <w:rPr>
              <w:rFonts w:hint="eastAsia" w:ascii="宋体" w:hAnsi="宋体" w:eastAsia="宋体" w:cs="宋体"/>
              <w:color w:val="auto"/>
              <w:sz w:val="44"/>
              <w:szCs w:val="44"/>
              <w:highlight w:val="none"/>
            </w:rPr>
            <w:fldChar w:fldCharType="end"/>
          </w:r>
          <w:r/>
        </w:p>
        <w:p>
          <w:pPr>
            <w:pStyle w:val="801"/>
            <w:tabs>
              <w:tab w:val="right" w:pos="8306" w:leader="dot"/>
            </w:tabs>
            <w:rPr>
              <w:color w:val="auto"/>
              <w:sz w:val="44"/>
              <w:szCs w:val="44"/>
              <w:highlight w:val="none"/>
            </w:rPr>
          </w:pPr>
          <w:r>
            <w:rPr>
              <w:rFonts w:hint="eastAsia" w:ascii="宋体" w:hAnsi="宋体" w:eastAsia="宋体" w:cs="宋体"/>
              <w:color w:val="auto"/>
              <w:sz w:val="44"/>
              <w:szCs w:val="44"/>
              <w:highlight w:val="none"/>
            </w:rPr>
            <w:fldChar w:fldCharType="begin"/>
          </w:r>
          <w:r>
            <w:rPr>
              <w:rFonts w:hint="eastAsia" w:ascii="宋体" w:hAnsi="宋体" w:eastAsia="宋体" w:cs="宋体"/>
              <w:color w:val="auto"/>
              <w:sz w:val="44"/>
              <w:szCs w:val="44"/>
              <w:highlight w:val="none"/>
            </w:rPr>
            <w:instrText xml:space="preserve"> HYPERLINK \l _Toc20840 </w:instrText>
          </w:r>
          <w:r>
            <w:rPr>
              <w:rFonts w:hint="eastAsia" w:ascii="宋体" w:hAnsi="宋体" w:eastAsia="宋体" w:cs="宋体"/>
              <w:color w:val="auto"/>
              <w:sz w:val="44"/>
              <w:szCs w:val="44"/>
              <w:highlight w:val="none"/>
            </w:rPr>
            <w:fldChar w:fldCharType="separate"/>
          </w:r>
          <w:r>
            <w:rPr>
              <w:rFonts w:hint="eastAsia" w:ascii="宋体" w:hAnsi="宋体" w:eastAsia="宋体" w:cs="宋体"/>
              <w:color w:val="auto"/>
              <w:sz w:val="44"/>
              <w:szCs w:val="44"/>
              <w:highlight w:val="none"/>
            </w:rPr>
            <w:t xml:space="preserve">第二章  供应商须知</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_Toc20840 \h </w:instrText>
          </w:r>
          <w:r>
            <w:rPr>
              <w:color w:val="auto"/>
              <w:sz w:val="44"/>
              <w:szCs w:val="44"/>
              <w:highlight w:val="none"/>
            </w:rPr>
            <w:fldChar w:fldCharType="separate"/>
          </w:r>
          <w:r>
            <w:rPr>
              <w:color w:val="auto"/>
              <w:sz w:val="44"/>
              <w:szCs w:val="44"/>
              <w:highlight w:val="none"/>
            </w:rPr>
            <w:t xml:space="preserve">8</w:t>
          </w:r>
          <w:r>
            <w:rPr>
              <w:color w:val="auto"/>
              <w:sz w:val="44"/>
              <w:szCs w:val="44"/>
              <w:highlight w:val="none"/>
            </w:rPr>
            <w:fldChar w:fldCharType="end"/>
          </w:r>
          <w:r>
            <w:rPr>
              <w:rFonts w:hint="eastAsia" w:ascii="宋体" w:hAnsi="宋体" w:eastAsia="宋体" w:cs="宋体"/>
              <w:color w:val="auto"/>
              <w:sz w:val="44"/>
              <w:szCs w:val="44"/>
              <w:highlight w:val="none"/>
            </w:rPr>
            <w:fldChar w:fldCharType="end"/>
          </w:r>
          <w:r/>
        </w:p>
        <w:p>
          <w:pPr>
            <w:pStyle w:val="801"/>
            <w:tabs>
              <w:tab w:val="right" w:pos="8306" w:leader="dot"/>
            </w:tabs>
            <w:rPr>
              <w:color w:val="auto"/>
              <w:sz w:val="44"/>
              <w:szCs w:val="44"/>
              <w:highlight w:val="none"/>
            </w:rPr>
          </w:pPr>
          <w:r>
            <w:rPr>
              <w:rFonts w:hint="eastAsia" w:ascii="宋体" w:hAnsi="宋体" w:eastAsia="宋体" w:cs="宋体"/>
              <w:color w:val="auto"/>
              <w:sz w:val="44"/>
              <w:szCs w:val="44"/>
              <w:highlight w:val="none"/>
            </w:rPr>
            <w:fldChar w:fldCharType="begin"/>
          </w:r>
          <w:r>
            <w:rPr>
              <w:rFonts w:hint="eastAsia" w:ascii="宋体" w:hAnsi="宋体" w:eastAsia="宋体" w:cs="宋体"/>
              <w:color w:val="auto"/>
              <w:sz w:val="44"/>
              <w:szCs w:val="44"/>
              <w:highlight w:val="none"/>
            </w:rPr>
            <w:instrText xml:space="preserve"> HYPERLINK \l _Toc21581 </w:instrText>
          </w:r>
          <w:r>
            <w:rPr>
              <w:rFonts w:hint="eastAsia" w:ascii="宋体" w:hAnsi="宋体" w:eastAsia="宋体" w:cs="宋体"/>
              <w:color w:val="auto"/>
              <w:sz w:val="44"/>
              <w:szCs w:val="44"/>
              <w:highlight w:val="none"/>
            </w:rPr>
            <w:fldChar w:fldCharType="separate"/>
          </w:r>
          <w:r>
            <w:rPr>
              <w:rFonts w:hint="eastAsia" w:ascii="宋体" w:hAnsi="宋体" w:eastAsia="宋体" w:cs="宋体"/>
              <w:color w:val="auto"/>
              <w:sz w:val="44"/>
              <w:szCs w:val="144"/>
              <w:highlight w:val="none"/>
            </w:rPr>
            <w:t xml:space="preserve">第三章  评审方法与评审标准</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_Toc21581 \h </w:instrText>
          </w:r>
          <w:r>
            <w:rPr>
              <w:color w:val="auto"/>
              <w:sz w:val="44"/>
              <w:szCs w:val="44"/>
              <w:highlight w:val="none"/>
            </w:rPr>
            <w:fldChar w:fldCharType="separate"/>
          </w:r>
          <w:r>
            <w:rPr>
              <w:color w:val="auto"/>
              <w:sz w:val="44"/>
              <w:szCs w:val="44"/>
              <w:highlight w:val="none"/>
            </w:rPr>
            <w:t xml:space="preserve">23</w:t>
          </w:r>
          <w:r>
            <w:rPr>
              <w:color w:val="auto"/>
              <w:sz w:val="44"/>
              <w:szCs w:val="44"/>
              <w:highlight w:val="none"/>
            </w:rPr>
            <w:fldChar w:fldCharType="end"/>
          </w:r>
          <w:r>
            <w:rPr>
              <w:rFonts w:hint="eastAsia" w:ascii="宋体" w:hAnsi="宋体" w:eastAsia="宋体" w:cs="宋体"/>
              <w:color w:val="auto"/>
              <w:sz w:val="44"/>
              <w:szCs w:val="44"/>
              <w:highlight w:val="none"/>
            </w:rPr>
            <w:fldChar w:fldCharType="end"/>
          </w:r>
          <w:r/>
        </w:p>
        <w:p>
          <w:pPr>
            <w:pStyle w:val="801"/>
            <w:tabs>
              <w:tab w:val="right" w:pos="8306" w:leader="dot"/>
            </w:tabs>
            <w:rPr>
              <w:color w:val="auto"/>
              <w:sz w:val="44"/>
              <w:szCs w:val="44"/>
              <w:highlight w:val="none"/>
            </w:rPr>
          </w:pPr>
          <w:r>
            <w:rPr>
              <w:rFonts w:hint="eastAsia" w:ascii="宋体" w:hAnsi="宋体" w:eastAsia="宋体" w:cs="宋体"/>
              <w:color w:val="auto"/>
              <w:sz w:val="44"/>
              <w:szCs w:val="44"/>
              <w:highlight w:val="none"/>
            </w:rPr>
            <w:fldChar w:fldCharType="begin"/>
          </w:r>
          <w:r>
            <w:rPr>
              <w:rFonts w:hint="eastAsia" w:ascii="宋体" w:hAnsi="宋体" w:eastAsia="宋体" w:cs="宋体"/>
              <w:color w:val="auto"/>
              <w:sz w:val="44"/>
              <w:szCs w:val="44"/>
              <w:highlight w:val="none"/>
            </w:rPr>
            <w:instrText xml:space="preserve"> HYPERLINK \l _Toc28623 </w:instrText>
          </w:r>
          <w:r>
            <w:rPr>
              <w:rFonts w:hint="eastAsia" w:ascii="宋体" w:hAnsi="宋体" w:eastAsia="宋体" w:cs="宋体"/>
              <w:color w:val="auto"/>
              <w:sz w:val="44"/>
              <w:szCs w:val="44"/>
              <w:highlight w:val="none"/>
            </w:rPr>
            <w:fldChar w:fldCharType="separate"/>
          </w:r>
          <w:r>
            <w:rPr>
              <w:rFonts w:hint="eastAsia" w:ascii="宋体" w:hAnsi="宋体" w:eastAsia="宋体" w:cs="宋体"/>
              <w:color w:val="auto"/>
              <w:sz w:val="44"/>
              <w:szCs w:val="144"/>
              <w:highlight w:val="none"/>
            </w:rPr>
            <w:t xml:space="preserve">第四章  采购需求</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_Toc28623 \h </w:instrText>
          </w:r>
          <w:r>
            <w:rPr>
              <w:color w:val="auto"/>
              <w:sz w:val="44"/>
              <w:szCs w:val="44"/>
              <w:highlight w:val="none"/>
            </w:rPr>
            <w:fldChar w:fldCharType="separate"/>
          </w:r>
          <w:r>
            <w:rPr>
              <w:color w:val="auto"/>
              <w:sz w:val="44"/>
              <w:szCs w:val="44"/>
              <w:highlight w:val="none"/>
            </w:rPr>
            <w:t xml:space="preserve">27</w:t>
          </w:r>
          <w:r>
            <w:rPr>
              <w:color w:val="auto"/>
              <w:sz w:val="44"/>
              <w:szCs w:val="44"/>
              <w:highlight w:val="none"/>
            </w:rPr>
            <w:fldChar w:fldCharType="end"/>
          </w:r>
          <w:r>
            <w:rPr>
              <w:rFonts w:hint="eastAsia" w:ascii="宋体" w:hAnsi="宋体" w:eastAsia="宋体" w:cs="宋体"/>
              <w:color w:val="auto"/>
              <w:sz w:val="44"/>
              <w:szCs w:val="44"/>
              <w:highlight w:val="none"/>
            </w:rPr>
            <w:fldChar w:fldCharType="end"/>
          </w:r>
          <w:r/>
        </w:p>
        <w:p>
          <w:pPr>
            <w:pStyle w:val="801"/>
            <w:tabs>
              <w:tab w:val="right" w:pos="8306" w:leader="dot"/>
            </w:tabs>
            <w:rPr>
              <w:color w:val="auto"/>
              <w:sz w:val="44"/>
              <w:szCs w:val="44"/>
              <w:highlight w:val="none"/>
            </w:rPr>
          </w:pPr>
          <w:r>
            <w:rPr>
              <w:rFonts w:hint="eastAsia" w:ascii="宋体" w:hAnsi="宋体" w:eastAsia="宋体" w:cs="宋体"/>
              <w:color w:val="auto"/>
              <w:sz w:val="44"/>
              <w:szCs w:val="44"/>
              <w:highlight w:val="none"/>
            </w:rPr>
            <w:fldChar w:fldCharType="begin"/>
          </w:r>
          <w:r>
            <w:rPr>
              <w:rFonts w:hint="eastAsia" w:ascii="宋体" w:hAnsi="宋体" w:eastAsia="宋体" w:cs="宋体"/>
              <w:color w:val="auto"/>
              <w:sz w:val="44"/>
              <w:szCs w:val="44"/>
              <w:highlight w:val="none"/>
            </w:rPr>
            <w:instrText xml:space="preserve"> HYPERLINK \l _Toc32230 </w:instrText>
          </w:r>
          <w:r>
            <w:rPr>
              <w:rFonts w:hint="eastAsia" w:ascii="宋体" w:hAnsi="宋体" w:eastAsia="宋体" w:cs="宋体"/>
              <w:color w:val="auto"/>
              <w:sz w:val="44"/>
              <w:szCs w:val="44"/>
              <w:highlight w:val="none"/>
            </w:rPr>
            <w:fldChar w:fldCharType="separate"/>
          </w:r>
          <w:r>
            <w:rPr>
              <w:rFonts w:hint="eastAsia" w:ascii="宋体" w:hAnsi="宋体" w:eastAsia="宋体" w:cs="宋体"/>
              <w:color w:val="auto"/>
              <w:sz w:val="44"/>
              <w:szCs w:val="144"/>
              <w:highlight w:val="none"/>
            </w:rPr>
            <w:t xml:space="preserve">第五章  合同文本</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_Toc32230 \h </w:instrText>
          </w:r>
          <w:r>
            <w:rPr>
              <w:color w:val="auto"/>
              <w:sz w:val="44"/>
              <w:szCs w:val="44"/>
              <w:highlight w:val="none"/>
            </w:rPr>
            <w:fldChar w:fldCharType="separate"/>
          </w:r>
          <w:r>
            <w:rPr>
              <w:color w:val="auto"/>
              <w:sz w:val="44"/>
              <w:szCs w:val="44"/>
              <w:highlight w:val="none"/>
            </w:rPr>
            <w:t xml:space="preserve">36</w:t>
          </w:r>
          <w:r>
            <w:rPr>
              <w:color w:val="auto"/>
              <w:sz w:val="44"/>
              <w:szCs w:val="44"/>
              <w:highlight w:val="none"/>
            </w:rPr>
            <w:fldChar w:fldCharType="end"/>
          </w:r>
          <w:r>
            <w:rPr>
              <w:rFonts w:hint="eastAsia" w:ascii="宋体" w:hAnsi="宋体" w:eastAsia="宋体" w:cs="宋体"/>
              <w:color w:val="auto"/>
              <w:sz w:val="44"/>
              <w:szCs w:val="44"/>
              <w:highlight w:val="none"/>
            </w:rPr>
            <w:fldChar w:fldCharType="end"/>
          </w:r>
          <w:r/>
        </w:p>
        <w:p>
          <w:pPr>
            <w:pStyle w:val="801"/>
            <w:tabs>
              <w:tab w:val="right" w:pos="8306" w:leader="dot"/>
            </w:tabs>
            <w:rPr>
              <w:color w:val="auto"/>
              <w:sz w:val="44"/>
              <w:szCs w:val="44"/>
              <w:highlight w:val="none"/>
            </w:rPr>
          </w:pPr>
          <w:r>
            <w:rPr>
              <w:rFonts w:hint="eastAsia" w:ascii="宋体" w:hAnsi="宋体" w:eastAsia="宋体" w:cs="宋体"/>
              <w:color w:val="auto"/>
              <w:sz w:val="44"/>
              <w:szCs w:val="44"/>
              <w:highlight w:val="none"/>
            </w:rPr>
            <w:fldChar w:fldCharType="begin"/>
          </w:r>
          <w:r>
            <w:rPr>
              <w:rFonts w:hint="eastAsia" w:ascii="宋体" w:hAnsi="宋体" w:eastAsia="宋体" w:cs="宋体"/>
              <w:color w:val="auto"/>
              <w:sz w:val="44"/>
              <w:szCs w:val="44"/>
              <w:highlight w:val="none"/>
            </w:rPr>
            <w:instrText xml:space="preserve"> HYPERLINK \l _Toc2622 </w:instrText>
          </w:r>
          <w:r>
            <w:rPr>
              <w:rFonts w:hint="eastAsia" w:ascii="宋体" w:hAnsi="宋体" w:eastAsia="宋体" w:cs="宋体"/>
              <w:color w:val="auto"/>
              <w:sz w:val="44"/>
              <w:szCs w:val="44"/>
              <w:highlight w:val="none"/>
            </w:rPr>
            <w:fldChar w:fldCharType="separate"/>
          </w:r>
          <w:r>
            <w:rPr>
              <w:rFonts w:hint="eastAsia" w:ascii="宋体" w:hAnsi="宋体" w:eastAsia="宋体" w:cs="宋体"/>
              <w:color w:val="auto"/>
              <w:sz w:val="44"/>
              <w:szCs w:val="144"/>
              <w:highlight w:val="none"/>
            </w:rPr>
            <w:t xml:space="preserve">第六章  响应文件格式</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_Toc2622 \h </w:instrText>
          </w:r>
          <w:r>
            <w:rPr>
              <w:color w:val="auto"/>
              <w:sz w:val="44"/>
              <w:szCs w:val="44"/>
              <w:highlight w:val="none"/>
            </w:rPr>
            <w:fldChar w:fldCharType="separate"/>
          </w:r>
          <w:r>
            <w:rPr>
              <w:color w:val="auto"/>
              <w:sz w:val="44"/>
              <w:szCs w:val="44"/>
              <w:highlight w:val="none"/>
            </w:rPr>
            <w:t xml:space="preserve">45</w:t>
          </w:r>
          <w:r>
            <w:rPr>
              <w:color w:val="auto"/>
              <w:sz w:val="44"/>
              <w:szCs w:val="44"/>
              <w:highlight w:val="none"/>
            </w:rPr>
            <w:fldChar w:fldCharType="end"/>
          </w:r>
          <w:r>
            <w:rPr>
              <w:rFonts w:hint="eastAsia" w:ascii="宋体" w:hAnsi="宋体" w:eastAsia="宋体" w:cs="宋体"/>
              <w:color w:val="auto"/>
              <w:sz w:val="44"/>
              <w:szCs w:val="44"/>
              <w:highlight w:val="none"/>
            </w:rPr>
            <w:fldChar w:fldCharType="end"/>
          </w:r>
          <w:r/>
        </w:p>
        <w:p>
          <w:pPr>
            <w:pStyle w:val="801"/>
            <w:tabs>
              <w:tab w:val="right" w:pos="8306" w:leader="dot"/>
            </w:tabs>
            <w:rPr>
              <w:color w:val="auto"/>
              <w:sz w:val="44"/>
              <w:szCs w:val="44"/>
              <w:highlight w:val="none"/>
            </w:rPr>
          </w:pPr>
          <w:r>
            <w:rPr>
              <w:color w:val="auto"/>
              <w:sz w:val="44"/>
              <w:szCs w:val="44"/>
              <w:highlight w:val="none"/>
            </w:rPr>
          </w:r>
          <w:r/>
        </w:p>
        <w:p>
          <w:pPr>
            <w:jc w:val="both"/>
            <w:spacing w:line="700" w:lineRule="exact"/>
            <w:shd w:val="clear" w:color="auto" w:fill="ffffff" w:themeFill="background1"/>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48"/>
              <w:szCs w:val="52"/>
              <w:highlight w:val="none"/>
            </w:rPr>
            <w:fldChar w:fldCharType="end"/>
          </w:r>
          <w:r/>
        </w:p>
      </w:sdtContent>
    </w:sdt>
    <w:p>
      <w:pPr>
        <w:jc w:val="center"/>
        <w:spacing w:line="700" w:lineRule="exact"/>
        <w:shd w:val="clear" w:color="auto" w:fill="ffffff" w:themeFill="background1"/>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r>
      <w:r/>
    </w:p>
    <w:p>
      <w:pPr>
        <w:jc w:val="center"/>
        <w:spacing w:line="700" w:lineRule="exact"/>
        <w:shd w:val="clear" w:color="auto" w:fill="ffffff" w:themeFill="background1"/>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shd w:val="clear" w:color="auto" w:fill="ffffff" w:themeFill="background1"/>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shd w:val="clear" w:color="auto" w:fill="ffffff" w:themeFill="background1"/>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shd w:val="clear" w:color="auto" w:fill="ffffff" w:themeFill="background1"/>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shd w:val="clear" w:color="auto" w:fill="ffffff" w:themeFill="background1"/>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shd w:val="clear" w:color="auto" w:fill="ffffff" w:themeFill="background1"/>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76"/>
        <w:numPr>
          <w:ilvl w:val="0"/>
          <w:numId w:val="4"/>
        </w:numPr>
        <w:jc w:val="center"/>
        <w:shd w:val="clear" w:color="auto" w:fill="ffffff" w:themeFill="background1"/>
        <w:rPr>
          <w:rFonts w:hint="eastAsia" w:ascii="宋体" w:hAnsi="宋体" w:eastAsia="宋体" w:cs="宋体"/>
          <w:color w:val="auto"/>
          <w:sz w:val="44"/>
          <w:szCs w:val="44"/>
          <w:highlight w:val="none"/>
        </w:rPr>
      </w:pPr>
      <w:r/>
      <w:bookmarkStart w:id="1" w:name="_Toc27259"/>
      <w:r/>
      <w:bookmarkStart w:id="2" w:name="_Toc13414"/>
      <w:r/>
      <w:bookmarkStart w:id="3" w:name="_Toc7294"/>
      <w:r/>
      <w:bookmarkStart w:id="4" w:name="_Toc141869960"/>
      <w:r>
        <w:rPr>
          <w:rFonts w:hint="eastAsia" w:ascii="宋体" w:hAnsi="宋体" w:eastAsia="宋体" w:cs="宋体"/>
          <w:color w:val="auto"/>
          <w:sz w:val="44"/>
          <w:szCs w:val="44"/>
          <w:highlight w:val="none"/>
        </w:rPr>
        <w:t xml:space="preserve"> </w:t>
      </w:r>
      <w:bookmarkStart w:id="5" w:name="_Toc23455"/>
      <w:r>
        <w:rPr>
          <w:rFonts w:hint="eastAsia" w:ascii="宋体" w:hAnsi="宋体" w:eastAsia="宋体" w:cs="宋体"/>
          <w:color w:val="auto"/>
          <w:sz w:val="44"/>
          <w:szCs w:val="44"/>
          <w:highlight w:val="none"/>
        </w:rPr>
        <w:t xml:space="preserve">磋商邀请</w:t>
      </w:r>
      <w:bookmarkEnd w:id="1"/>
      <w:r/>
      <w:bookmarkEnd w:id="2"/>
      <w:r/>
      <w:bookmarkEnd w:id="3"/>
      <w:r/>
      <w:bookmarkEnd w:id="5"/>
      <w:r/>
      <w:r/>
    </w:p>
    <w:tbl>
      <w:tblPr>
        <w:tblStyle w:val="8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69" w:type="dxa"/>
            <w:textDirection w:val="lrTb"/>
            <w:noWrap w:val="false"/>
          </w:tcPr>
          <w:p>
            <w:pPr>
              <w:ind w:firstLine="480"/>
              <w:spacing w:line="559" w:lineRule="atLeast"/>
              <w:shd w:val="clear" w:color="auto" w:fill="ffffff" w:themeFill="background1"/>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6" w:name="_Toc38985263"/>
            <w:r/>
            <w:bookmarkStart w:id="7" w:name="_Toc28359002"/>
            <w:r/>
            <w:bookmarkStart w:id="8" w:name="_Hlk24379207"/>
            <w:r/>
            <w:bookmarkStart w:id="9" w:name="_Toc35393790"/>
            <w:r/>
            <w:bookmarkStart w:id="10" w:name="_Toc35393621"/>
            <w:r/>
            <w:bookmarkStart w:id="11" w:name="_Toc28359079"/>
            <w:r>
              <w:rPr>
                <w:rFonts w:hint="eastAsia" w:ascii="宋体" w:hAnsi="宋体" w:eastAsia="宋体" w:cs="宋体"/>
                <w:color w:val="auto"/>
                <w:sz w:val="24"/>
                <w:highlight w:val="none"/>
              </w:rPr>
              <w:t xml:space="preserve">项目概况</w:t>
            </w:r>
            <w:r/>
          </w:p>
          <w:p>
            <w:pPr>
              <w:ind w:firstLine="480"/>
              <w:spacing w:line="559" w:lineRule="atLeast"/>
              <w:shd w:val="clear" w:color="auto" w:fill="ffffff" w:themeFill="background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泗洪县(2026-2027年度)残疾人综合意外险采购项目</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lang w:eastAsia="zh-CN"/>
              </w:rPr>
              <w:t xml:space="preserve">JSZC-321324-XSZX-C2025-0017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招标项目的潜在</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应在</w:t>
            </w:r>
            <w:r>
              <w:rPr>
                <w:rFonts w:hint="eastAsia" w:ascii="宋体" w:hAnsi="宋体" w:eastAsia="宋体" w:cs="宋体"/>
                <w:color w:val="auto"/>
                <w:sz w:val="24"/>
                <w:highlight w:val="none"/>
                <w:lang w:val="en-US" w:eastAsia="zh-CN"/>
              </w:rPr>
              <w:t xml:space="preserve">竞争性磋商文件</w:t>
            </w:r>
            <w:r>
              <w:rPr>
                <w:rFonts w:hint="eastAsia" w:ascii="宋体" w:hAnsi="宋体" w:eastAsia="宋体" w:cs="宋体"/>
                <w:color w:val="auto"/>
                <w:sz w:val="24"/>
                <w:highlight w:val="none"/>
              </w:rPr>
              <w:t xml:space="preserve">提供的时间内，通过“苏采云”系统（网址：http：//jszfcg.jsczt.cn/）或宿迁市政府采购网点击“政府采购管理交易系统（苏采云）”，使用CA锁进入系统从“项目参与”--“采购项目”菜单中，找到本项目获取采购文件（后缀名为“.kedt”）。获取</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，并于202</w:t>
            </w:r>
            <w:r>
              <w:rPr>
                <w:rFonts w:hint="eastAsia" w:ascii="宋体" w:hAnsi="宋体" w:eastAsia="宋体" w:cs="宋体"/>
                <w:color w:val="auto"/>
                <w:sz w:val="24"/>
                <w:highlight w:val="none"/>
                <w:lang w:val="en-US" w:eastAsia="zh-CN"/>
              </w:rPr>
              <w:t xml:space="preserve">5年</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lang w:val="en-US" w:eastAsia="zh-CN"/>
              </w:rPr>
              <w:t xml:space="preserve">月</w:t>
            </w:r>
            <w:r>
              <w:rPr>
                <w:rFonts w:hint="eastAsia" w:ascii="宋体" w:hAnsi="宋体" w:cs="宋体"/>
                <w:color w:val="auto"/>
                <w:sz w:val="24"/>
                <w:highlight w:val="none"/>
                <w:lang w:val="en-US" w:eastAsia="zh-CN"/>
              </w:rPr>
              <w:t xml:space="preserve">29</w:t>
            </w:r>
            <w:r>
              <w:rPr>
                <w:rFonts w:hint="eastAsia" w:ascii="宋体" w:hAnsi="宋体" w:eastAsia="宋体" w:cs="宋体"/>
                <w:color w:val="auto"/>
                <w:sz w:val="24"/>
                <w:highlight w:val="none"/>
                <w:lang w:val="en-US" w:eastAsia="zh-CN"/>
              </w:rPr>
              <w:t xml:space="preserve">日09时</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rPr>
              <w:t xml:space="preserve">（北京时间）前递交</w:t>
            </w:r>
            <w:r>
              <w:rPr>
                <w:rFonts w:hint="eastAsia" w:ascii="宋体" w:hAnsi="宋体" w:eastAsia="宋体" w:cs="宋体"/>
                <w:color w:val="auto"/>
                <w:sz w:val="24"/>
                <w:highlight w:val="none"/>
                <w:lang w:eastAsia="zh-CN"/>
              </w:rPr>
              <w:t xml:space="preserve">响应文件</w:t>
            </w:r>
            <w:r>
              <w:rPr>
                <w:rFonts w:hint="eastAsia" w:ascii="宋体" w:hAnsi="宋体" w:eastAsia="宋体" w:cs="宋体"/>
                <w:color w:val="auto"/>
                <w:sz w:val="24"/>
                <w:highlight w:val="none"/>
              </w:rPr>
              <w:t xml:space="preserve">。</w:t>
            </w:r>
            <w:r/>
          </w:p>
        </w:tc>
      </w:tr>
    </w:tbl>
    <w:p>
      <w:pPr>
        <w:pStyle w:val="777"/>
        <w:ind w:firstLine="321"/>
        <w:spacing w:before="0" w:after="0" w:line="520" w:lineRule="exact"/>
        <w:shd w:val="clear" w:color="auto" w:fill="ffffff" w:themeFill="background1"/>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一、项目基本情况</w:t>
      </w:r>
      <w:bookmarkEnd w:id="6"/>
      <w:r/>
      <w:bookmarkEnd w:id="7"/>
      <w:r/>
      <w:bookmarkEnd w:id="8"/>
      <w:r/>
      <w:bookmarkEnd w:id="9"/>
      <w:r/>
      <w:bookmarkEnd w:id="10"/>
      <w:r/>
      <w:bookmarkEnd w:id="11"/>
      <w:r/>
      <w:r/>
    </w:p>
    <w:p>
      <w:pPr>
        <w:ind w:left="0" w:right="0" w:firstLine="480"/>
        <w:jc w:val="both"/>
        <w:spacing w:before="0" w:after="0" w:line="499" w:lineRule="atLeast"/>
        <w:shd w:val="clear" w:color="auto" w:fill="ffffff" w:themeFill="background1"/>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JSZC-321324-XSZX-C2025-0017</w:t>
      </w:r>
      <w:r/>
    </w:p>
    <w:p>
      <w:pPr>
        <w:ind w:left="0" w:right="0" w:firstLine="480"/>
        <w:jc w:val="both"/>
        <w:spacing w:before="0" w:after="0" w:line="499" w:lineRule="atLeast"/>
        <w:shd w:val="clear" w:color="auto" w:fill="ffffff" w:themeFill="background1"/>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highlight w:val="none"/>
          <w:lang w:eastAsia="zh-CN"/>
        </w:rPr>
        <w:t xml:space="preserve">泗洪县(2026-2027年度)残疾人综合意外险采购项目</w:t>
      </w:r>
      <w:r/>
    </w:p>
    <w:p>
      <w:pPr>
        <w:ind w:firstLine="480"/>
        <w:spacing w:line="559" w:lineRule="atLeast"/>
        <w:shd w:val="clear" w:color="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3.预算金额：</w:t>
      </w:r>
      <w:bookmarkStart w:id="12" w:name="EB5d3d0ac51d7b4c0abb3797d4d4297cdd"/>
      <w:r>
        <w:rPr>
          <w:rFonts w:hint="eastAsia" w:ascii="宋体" w:hAnsi="宋体" w:eastAsia="宋体" w:cs="宋体"/>
          <w:color w:val="auto"/>
          <w:sz w:val="24"/>
          <w:highlight w:val="none"/>
        </w:rPr>
        <w:t xml:space="preserve">项目预算总额为</w:t>
      </w:r>
      <w:r>
        <w:rPr>
          <w:rFonts w:hint="eastAsia" w:ascii="宋体" w:hAnsi="宋体" w:eastAsia="宋体" w:cs="宋体"/>
          <w:color w:val="auto"/>
          <w:sz w:val="24"/>
          <w:highlight w:val="none"/>
          <w:lang w:val="en-US" w:eastAsia="zh-CN"/>
        </w:rPr>
        <w:t xml:space="preserve">25</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万元，项目服务期限为两年，202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年度保费预算12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万元、202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年度保费预算</w:t>
      </w:r>
      <w:r>
        <w:rPr>
          <w:rFonts w:hint="eastAsia" w:ascii="宋体" w:hAnsi="宋体" w:cs="宋体"/>
          <w:color w:val="auto"/>
          <w:sz w:val="24"/>
          <w:highlight w:val="none"/>
          <w:lang w:val="en-US" w:eastAsia="zh-CN"/>
        </w:rPr>
        <w:t xml:space="preserve">126</w:t>
      </w:r>
      <w:r>
        <w:rPr>
          <w:rFonts w:hint="eastAsia" w:ascii="宋体" w:hAnsi="宋体" w:eastAsia="宋体" w:cs="宋体"/>
          <w:color w:val="auto"/>
          <w:sz w:val="24"/>
          <w:highlight w:val="none"/>
        </w:rPr>
        <w:t xml:space="preserve">万元。</w:t>
      </w:r>
      <w:bookmarkEnd w:id="12"/>
      <w:r>
        <w:rPr>
          <w:rFonts w:hint="eastAsia" w:ascii="宋体" w:hAnsi="宋体" w:eastAsia="宋体" w:cs="宋体"/>
          <w:color w:val="auto"/>
          <w:sz w:val="24"/>
          <w:highlight w:val="none"/>
          <w:lang w:val="en-US" w:eastAsia="zh-CN"/>
        </w:rPr>
        <w:t xml:space="preserve">其中分包1</w:t>
      </w:r>
      <w:r>
        <w:rPr>
          <w:rFonts w:hint="eastAsia" w:ascii="宋体" w:hAnsi="宋体" w:eastAsia="宋体" w:cs="宋体"/>
          <w:color w:val="auto"/>
          <w:sz w:val="24"/>
          <w:szCs w:val="24"/>
          <w:highlight w:val="none"/>
          <w:lang w:eastAsia="zh-CN"/>
        </w:rPr>
        <w:t xml:space="preserve">两年保费预算价为</w:t>
      </w:r>
      <w:r>
        <w:rPr>
          <w:rFonts w:hint="eastAsia" w:ascii="宋体" w:hAnsi="宋体" w:cs="宋体"/>
          <w:color w:val="auto"/>
          <w:sz w:val="24"/>
          <w:szCs w:val="24"/>
          <w:highlight w:val="none"/>
          <w:lang w:val="en-US" w:eastAsia="zh-CN"/>
        </w:rPr>
        <w:t xml:space="preserve">88.4</w:t>
      </w:r>
      <w:r>
        <w:rPr>
          <w:rFonts w:hint="eastAsia" w:ascii="宋体" w:hAnsi="宋体" w:eastAsia="宋体" w:cs="宋体"/>
          <w:color w:val="auto"/>
          <w:sz w:val="24"/>
          <w:szCs w:val="24"/>
          <w:highlight w:val="none"/>
          <w:lang w:eastAsia="zh-CN"/>
        </w:rPr>
        <w:t xml:space="preserve">万元</w:t>
      </w:r>
      <w:r>
        <w:rPr>
          <w:rFonts w:hint="eastAsia" w:ascii="宋体" w:hAnsi="宋体" w:eastAsia="宋体" w:cs="宋体"/>
          <w:color w:val="auto"/>
          <w:sz w:val="24"/>
          <w:highlight w:val="none"/>
          <w:lang w:val="en-US" w:eastAsia="zh-CN"/>
        </w:rPr>
        <w:t xml:space="preserve">、分包2</w:t>
      </w:r>
      <w:r>
        <w:rPr>
          <w:rFonts w:hint="eastAsia" w:ascii="宋体" w:hAnsi="宋体" w:eastAsia="宋体" w:cs="宋体"/>
          <w:color w:val="auto"/>
          <w:sz w:val="24"/>
          <w:szCs w:val="24"/>
          <w:highlight w:val="none"/>
          <w:lang w:eastAsia="zh-CN"/>
        </w:rPr>
        <w:t xml:space="preserve">两年保费预算价为</w:t>
      </w:r>
      <w:r>
        <w:rPr>
          <w:rFonts w:hint="eastAsia" w:ascii="宋体" w:hAnsi="宋体" w:cs="宋体"/>
          <w:color w:val="auto"/>
          <w:sz w:val="24"/>
          <w:szCs w:val="24"/>
          <w:highlight w:val="none"/>
          <w:lang w:val="en-US" w:eastAsia="zh-CN"/>
        </w:rPr>
        <w:t xml:space="preserve">88.4</w:t>
      </w:r>
      <w:r>
        <w:rPr>
          <w:rFonts w:hint="eastAsia" w:ascii="宋体" w:hAnsi="宋体" w:eastAsia="宋体" w:cs="宋体"/>
          <w:color w:val="auto"/>
          <w:sz w:val="24"/>
          <w:szCs w:val="24"/>
          <w:highlight w:val="none"/>
          <w:lang w:eastAsia="zh-CN"/>
        </w:rPr>
        <w:t xml:space="preserve">万元</w:t>
      </w:r>
      <w:r>
        <w:rPr>
          <w:rFonts w:hint="eastAsia" w:ascii="宋体" w:hAnsi="宋体" w:eastAsia="宋体" w:cs="宋体"/>
          <w:color w:val="auto"/>
          <w:sz w:val="24"/>
          <w:highlight w:val="none"/>
          <w:lang w:val="en-US" w:eastAsia="zh-CN"/>
        </w:rPr>
        <w:t xml:space="preserve">、分包3</w:t>
      </w:r>
      <w:r>
        <w:rPr>
          <w:rFonts w:hint="eastAsia" w:ascii="宋体" w:hAnsi="宋体" w:eastAsia="宋体" w:cs="宋体"/>
          <w:color w:val="auto"/>
          <w:sz w:val="24"/>
          <w:szCs w:val="24"/>
          <w:highlight w:val="none"/>
          <w:lang w:eastAsia="zh-CN"/>
        </w:rPr>
        <w:t xml:space="preserve">两年保费预算价为</w:t>
      </w:r>
      <w:r>
        <w:rPr>
          <w:rFonts w:hint="eastAsia" w:ascii="宋体" w:hAnsi="宋体" w:eastAsia="宋体" w:cs="宋体"/>
          <w:color w:val="auto"/>
          <w:sz w:val="24"/>
          <w:szCs w:val="24"/>
          <w:highlight w:val="none"/>
          <w:lang w:val="en-US" w:eastAsia="zh-CN"/>
        </w:rPr>
        <w:t xml:space="preserve">75.2</w:t>
      </w:r>
      <w:r>
        <w:rPr>
          <w:rFonts w:hint="eastAsia" w:ascii="宋体" w:hAnsi="宋体" w:eastAsia="宋体" w:cs="宋体"/>
          <w:color w:val="auto"/>
          <w:sz w:val="24"/>
          <w:szCs w:val="24"/>
          <w:highlight w:val="none"/>
          <w:lang w:eastAsia="zh-CN"/>
        </w:rPr>
        <w:t xml:space="preserve">万元</w:t>
      </w:r>
      <w:r>
        <w:rPr>
          <w:rFonts w:hint="eastAsia" w:ascii="宋体" w:hAnsi="宋体" w:eastAsia="宋体" w:cs="宋体"/>
          <w:color w:val="auto"/>
          <w:sz w:val="24"/>
          <w:highlight w:val="none"/>
          <w:lang w:val="en-US" w:eastAsia="zh-CN"/>
        </w:rPr>
        <w:t xml:space="preserve">。</w:t>
      </w:r>
      <w:r/>
    </w:p>
    <w:p>
      <w:pPr>
        <w:ind w:left="0" w:right="0" w:firstLine="480"/>
        <w:jc w:val="both"/>
        <w:spacing w:before="0" w:after="0" w:line="479" w:lineRule="atLeast"/>
        <w:shd w:val="clear" w:color="auto" w:fill="ffffff" w:themeFill="background1"/>
        <w:rPr>
          <w:rFonts w:hint="eastAsia" w:ascii="宋体" w:hAnsi="宋体" w:eastAsia="宋体" w:cs="宋体"/>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highlight w:val="none"/>
        </w:rPr>
        <w:t xml:space="preserve">本项目</w:t>
      </w:r>
      <w:r>
        <w:rPr>
          <w:rFonts w:hint="eastAsia" w:ascii="宋体" w:hAnsi="宋体" w:eastAsia="宋体" w:cs="宋体"/>
          <w:color w:val="auto"/>
          <w:sz w:val="24"/>
          <w:highlight w:val="none"/>
          <w:u w:val="single"/>
        </w:rPr>
        <w:t xml:space="preserve">设定 </w:t>
      </w:r>
      <w:r>
        <w:rPr>
          <w:rFonts w:hint="eastAsia" w:ascii="宋体" w:hAnsi="宋体" w:eastAsia="宋体" w:cs="宋体"/>
          <w:color w:val="auto"/>
          <w:sz w:val="24"/>
          <w:highlight w:val="none"/>
        </w:rPr>
        <w:t xml:space="preserve">最高限价</w:t>
      </w:r>
      <w:r>
        <w:rPr>
          <w:rFonts w:hint="eastAsia" w:ascii="宋体" w:hAnsi="宋体" w:eastAsia="宋体" w:cs="宋体"/>
          <w:color w:val="auto"/>
          <w:sz w:val="24"/>
          <w:highlight w:val="none"/>
          <w:lang w:eastAsia="zh-CN"/>
        </w:rPr>
        <w:t xml:space="preserve">：</w:t>
      </w:r>
      <w:bookmarkStart w:id="13" w:name="EB6c1f3d39c6914ae1bada8ccaa777b37a"/>
      <w:r>
        <w:rPr>
          <w:rFonts w:hint="eastAsia" w:ascii="宋体" w:hAnsi="宋体" w:eastAsia="宋体" w:cs="宋体"/>
          <w:b/>
          <w:bCs/>
          <w:color w:val="auto"/>
          <w:sz w:val="24"/>
          <w:highlight w:val="none"/>
        </w:rPr>
        <w:t xml:space="preserve">保费单价限价为40元/人/年</w:t>
      </w:r>
      <w:bookmarkEnd w:id="13"/>
      <w:r>
        <w:rPr>
          <w:rFonts w:hint="eastAsia" w:ascii="宋体" w:hAnsi="宋体" w:eastAsia="宋体" w:cs="宋体"/>
          <w:b/>
          <w:bCs/>
          <w:color w:val="auto"/>
          <w:sz w:val="24"/>
          <w:highlight w:val="none"/>
          <w:lang w:eastAsia="zh-CN"/>
        </w:rPr>
        <w:t xml:space="preserve">（本项目各险种保费为固定单价，每年按实际符合</w:t>
      </w:r>
      <w:r>
        <w:rPr>
          <w:rFonts w:hint="eastAsia" w:ascii="宋体" w:hAnsi="宋体" w:eastAsia="宋体" w:cs="宋体"/>
          <w:b/>
          <w:bCs/>
          <w:color w:val="auto"/>
          <w:sz w:val="24"/>
          <w:highlight w:val="none"/>
          <w:lang w:val="en-US" w:eastAsia="zh-CN"/>
        </w:rPr>
        <w:t xml:space="preserve">参保条件的</w:t>
      </w:r>
      <w:r>
        <w:rPr>
          <w:rFonts w:hint="eastAsia" w:ascii="宋体" w:hAnsi="宋体" w:eastAsia="宋体" w:cs="宋体"/>
          <w:b/>
          <w:bCs/>
          <w:color w:val="auto"/>
          <w:sz w:val="24"/>
          <w:highlight w:val="none"/>
          <w:lang w:eastAsia="zh-CN"/>
        </w:rPr>
        <w:t xml:space="preserve">对象数支付保险费）。</w:t>
      </w:r>
      <w:r/>
    </w:p>
    <w:p>
      <w:pPr>
        <w:ind w:left="0" w:right="0" w:firstLine="480"/>
        <w:jc w:val="both"/>
        <w:spacing w:before="0" w:after="0" w:line="479" w:lineRule="atLeast"/>
        <w:shd w:val="clear" w:color="auto" w:fill="ffffff" w:themeFill="background1"/>
        <w:rPr>
          <w:rFonts w:hint="eastAsia" w:ascii="宋体" w:hAnsi="宋体" w:eastAsia="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本项目</w:t>
      </w:r>
      <w:r>
        <w:rPr>
          <w:rFonts w:hint="eastAsia" w:ascii="宋体" w:hAnsi="宋体" w:eastAsia="宋体" w:cs="宋体"/>
          <w:b/>
          <w:bCs/>
          <w:color w:val="auto"/>
          <w:sz w:val="24"/>
          <w:highlight w:val="none"/>
        </w:rPr>
        <w:t xml:space="preserve">保费</w:t>
      </w:r>
      <w:r>
        <w:rPr>
          <w:rFonts w:hint="eastAsia" w:ascii="宋体" w:hAnsi="宋体" w:eastAsia="宋体" w:cs="宋体"/>
          <w:b/>
          <w:bCs/>
          <w:color w:val="auto"/>
          <w:sz w:val="24"/>
          <w:highlight w:val="none"/>
          <w:lang w:eastAsia="zh-CN"/>
        </w:rPr>
        <w:t xml:space="preserve">为固定单价</w:t>
      </w:r>
      <w:r>
        <w:rPr>
          <w:rFonts w:hint="eastAsia" w:ascii="宋体" w:hAnsi="宋体" w:eastAsia="宋体" w:cs="宋体"/>
          <w:b/>
          <w:bCs/>
          <w:color w:val="auto"/>
          <w:sz w:val="24"/>
          <w:highlight w:val="none"/>
        </w:rPr>
        <w:t xml:space="preserve">40元/人/年</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各供应商磋商报价表不得随意更改，按要求填写</w:t>
      </w:r>
      <w:r>
        <w:rPr>
          <w:rFonts w:hint="eastAsia" w:ascii="宋体" w:hAnsi="宋体" w:eastAsia="宋体" w:cs="宋体"/>
          <w:b/>
          <w:bCs/>
          <w:color w:val="auto"/>
          <w:sz w:val="24"/>
          <w:highlight w:val="none"/>
        </w:rPr>
        <w:t xml:space="preserve">40元/人/年</w:t>
      </w:r>
      <w:r>
        <w:rPr>
          <w:rFonts w:hint="eastAsia" w:ascii="宋体" w:hAnsi="宋体" w:eastAsia="宋体" w:cs="宋体"/>
          <w:b/>
          <w:bCs/>
          <w:color w:val="auto"/>
          <w:sz w:val="24"/>
          <w:highlight w:val="none"/>
          <w:lang w:eastAsia="zh-CN"/>
        </w:rPr>
        <w:t xml:space="preserve">。</w:t>
      </w:r>
      <w:r/>
    </w:p>
    <w:p>
      <w:pPr>
        <w:ind w:left="0" w:right="0" w:firstLine="480"/>
        <w:jc w:val="both"/>
        <w:spacing w:before="0" w:after="0" w:line="499" w:lineRule="atLeast"/>
        <w:shd w:val="clear" w:color="auto" w:fill="ffffff" w:themeFill="background1"/>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5.采购需求（简介）：</w:t>
      </w:r>
      <w:bookmarkStart w:id="14" w:name="OLE_LINK57"/>
      <w:r>
        <w:rPr>
          <w:rFonts w:hint="eastAsia" w:ascii="宋体" w:hAnsi="宋体" w:eastAsia="宋体" w:cs="宋体"/>
          <w:color w:val="auto"/>
          <w:sz w:val="24"/>
          <w:szCs w:val="24"/>
          <w:highlight w:val="none"/>
          <w:lang w:val="en-US" w:eastAsia="zh-CN"/>
        </w:rPr>
        <w:t xml:space="preserve">根据《宿迁市残疾人意外伤害保险实施办法（试行）》宿残联发【2017】65号文件精神，</w:t>
      </w:r>
      <w:r>
        <w:rPr>
          <w:rFonts w:hint="eastAsia" w:ascii="宋体" w:hAnsi="宋体" w:eastAsia="宋体" w:cs="宋体"/>
          <w:color w:val="auto"/>
          <w:sz w:val="24"/>
          <w:szCs w:val="24"/>
          <w:highlight w:val="none"/>
        </w:rPr>
        <w:t xml:space="preserve">充分发挥商业保险的社会保障作用，帮助残疾人增强对意外伤害和疾病的</w:t>
      </w:r>
      <w:r>
        <w:rPr>
          <w:rFonts w:hint="eastAsia" w:ascii="宋体" w:hAnsi="宋体" w:eastAsia="宋体" w:cs="宋体"/>
          <w:color w:val="auto"/>
          <w:sz w:val="24"/>
          <w:szCs w:val="24"/>
          <w:highlight w:val="none"/>
          <w:lang w:val="en-US" w:eastAsia="zh-CN"/>
        </w:rPr>
        <w:t xml:space="preserve">规避</w:t>
      </w:r>
      <w:r>
        <w:rPr>
          <w:rFonts w:hint="eastAsia" w:ascii="宋体" w:hAnsi="宋体" w:eastAsia="宋体" w:cs="宋体"/>
          <w:color w:val="auto"/>
          <w:sz w:val="24"/>
          <w:szCs w:val="24"/>
          <w:highlight w:val="none"/>
        </w:rPr>
        <w:t xml:space="preserve">能力，减轻家庭、社会和政府的负担，结合泗洪县实际，开展本次残疾人意外险项目。</w:t>
      </w:r>
      <w:r>
        <w:rPr>
          <w:rFonts w:hint="eastAsia" w:ascii="宋体" w:hAnsi="宋体" w:eastAsia="宋体" w:cs="宋体"/>
          <w:color w:val="auto"/>
          <w:sz w:val="24"/>
          <w:szCs w:val="24"/>
          <w:highlight w:val="none"/>
          <w:lang w:eastAsia="zh-CN"/>
        </w:rPr>
        <w:t xml:space="preserve">最终每年按实际符合</w:t>
      </w:r>
      <w:r>
        <w:rPr>
          <w:rFonts w:hint="eastAsia" w:ascii="宋体" w:hAnsi="宋体" w:eastAsia="宋体" w:cs="宋体"/>
          <w:color w:val="auto"/>
          <w:sz w:val="24"/>
          <w:szCs w:val="24"/>
          <w:highlight w:val="none"/>
          <w:lang w:val="en-US" w:eastAsia="zh-CN"/>
        </w:rPr>
        <w:t xml:space="preserve">参保条件的</w:t>
      </w:r>
      <w:r>
        <w:rPr>
          <w:rFonts w:hint="eastAsia" w:ascii="宋体" w:hAnsi="宋体" w:eastAsia="宋体" w:cs="宋体"/>
          <w:color w:val="auto"/>
          <w:sz w:val="24"/>
          <w:szCs w:val="24"/>
          <w:highlight w:val="none"/>
          <w:lang w:eastAsia="zh-CN"/>
        </w:rPr>
        <w:t xml:space="preserve">对象数支付保险费。</w:t>
      </w:r>
      <w:r>
        <w:rPr>
          <w:rFonts w:hint="eastAsia" w:ascii="宋体" w:hAnsi="宋体" w:eastAsia="宋体" w:cs="宋体"/>
          <w:color w:val="auto"/>
          <w:sz w:val="24"/>
          <w:szCs w:val="24"/>
          <w:highlight w:val="none"/>
          <w:lang w:val="en-US" w:eastAsia="zh-CN"/>
        </w:rPr>
        <w:t xml:space="preserve">本项目共分为3个包招标，</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个分包的成交</w:t>
      </w:r>
      <w:r>
        <w:rPr>
          <w:rFonts w:hint="eastAsia" w:ascii="宋体" w:hAnsi="宋体" w:eastAsia="宋体" w:cs="宋体"/>
          <w:color w:val="auto"/>
          <w:sz w:val="24"/>
          <w:szCs w:val="24"/>
          <w:highlight w:val="none"/>
        </w:rPr>
        <w:t xml:space="preserve">相应承保人数比例分别为</w:t>
      </w: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%、30%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具体分包如下：</w:t>
      </w:r>
      <w:bookmarkEnd w:id="14"/>
      <w:r/>
      <w:r/>
    </w:p>
    <w:p>
      <w:pPr>
        <w:ind w:left="0" w:right="0" w:firstLine="480"/>
        <w:jc w:val="both"/>
        <w:spacing w:before="0" w:after="0" w:line="499" w:lineRule="atLeast"/>
        <w:shd w:val="clear" w:color="auto" w:fill="ffffff" w:themeFill="background1"/>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分包1承担的区域有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大楼街道、石集</w:t>
      </w:r>
      <w:r>
        <w:rPr>
          <w:rFonts w:hint="eastAsia" w:ascii="宋体" w:hAnsi="宋体" w:eastAsia="宋体" w:cs="宋体"/>
          <w:color w:val="auto"/>
          <w:sz w:val="24"/>
          <w:highlight w:val="none"/>
          <w:lang w:eastAsia="zh-CN"/>
        </w:rPr>
        <w:t xml:space="preserve">乡</w:t>
      </w:r>
      <w:r>
        <w:rPr>
          <w:rFonts w:hint="eastAsia" w:ascii="宋体" w:hAnsi="宋体" w:eastAsia="宋体" w:cs="宋体"/>
          <w:color w:val="auto"/>
          <w:sz w:val="24"/>
          <w:highlight w:val="none"/>
        </w:rPr>
        <w:t xml:space="preserve">、临淮镇、半城镇、龙集镇、界集镇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分包1</w:t>
      </w:r>
      <w:r>
        <w:rPr>
          <w:rFonts w:hint="eastAsia" w:ascii="宋体" w:hAnsi="宋体" w:eastAsia="宋体" w:cs="宋体"/>
          <w:color w:val="auto"/>
          <w:sz w:val="24"/>
          <w:highlight w:val="none"/>
        </w:rPr>
        <w:t xml:space="preserve">承保人数比例为</w:t>
      </w:r>
      <w:r>
        <w:rPr>
          <w:rFonts w:hint="eastAsia" w:ascii="宋体" w:hAnsi="宋体" w:eastAsia="宋体" w:cs="宋体"/>
          <w:color w:val="auto"/>
          <w:sz w:val="24"/>
          <w:highlight w:val="none"/>
          <w:lang w:val="en-US" w:eastAsia="zh-CN"/>
        </w:rPr>
        <w:t xml:space="preserve">35</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持证残疾人数约为</w:t>
      </w:r>
      <w:r>
        <w:rPr>
          <w:rFonts w:hint="eastAsia" w:ascii="宋体" w:hAnsi="宋体" w:eastAsia="宋体" w:cs="宋体"/>
          <w:color w:val="auto"/>
          <w:sz w:val="24"/>
          <w:highlight w:val="none"/>
          <w:lang w:val="en-US" w:eastAsia="zh-CN"/>
        </w:rPr>
        <w:t xml:space="preserve">11050</w:t>
      </w:r>
      <w:r>
        <w:rPr>
          <w:rFonts w:hint="eastAsia" w:ascii="宋体" w:hAnsi="宋体" w:eastAsia="宋体" w:cs="宋体"/>
          <w:color w:val="auto"/>
          <w:sz w:val="24"/>
          <w:highlight w:val="none"/>
        </w:rPr>
        <w:t xml:space="preserve">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eastAsia="zh-CN"/>
        </w:rPr>
        <w:t xml:space="preserve">。两年保费预算价为</w:t>
      </w:r>
      <w:r>
        <w:rPr>
          <w:rFonts w:hint="eastAsia" w:ascii="宋体" w:hAnsi="宋体" w:cs="宋体"/>
          <w:i w:val="0"/>
          <w:iCs w:val="0"/>
          <w:color w:val="auto"/>
          <w:sz w:val="22"/>
          <w:szCs w:val="22"/>
          <w:highlight w:val="none"/>
          <w:u w:val="none"/>
          <w:lang w:val="en-US" w:eastAsia="zh-CN" w:bidi="ar"/>
        </w:rPr>
        <w:t xml:space="preserve">88.4</w:t>
      </w:r>
      <w:r>
        <w:rPr>
          <w:rFonts w:hint="eastAsia" w:ascii="宋体" w:hAnsi="宋体" w:eastAsia="宋体" w:cs="宋体"/>
          <w:color w:val="auto"/>
          <w:sz w:val="24"/>
          <w:szCs w:val="24"/>
          <w:highlight w:val="none"/>
          <w:lang w:eastAsia="zh-CN"/>
        </w:rPr>
        <w:t xml:space="preserve">万元，每年按实际符合</w:t>
      </w:r>
      <w:r>
        <w:rPr>
          <w:rFonts w:hint="eastAsia" w:ascii="宋体" w:hAnsi="宋体" w:eastAsia="宋体" w:cs="宋体"/>
          <w:color w:val="auto"/>
          <w:sz w:val="24"/>
          <w:szCs w:val="24"/>
          <w:highlight w:val="none"/>
          <w:lang w:val="en-US" w:eastAsia="zh-CN"/>
        </w:rPr>
        <w:t xml:space="preserve">参保条件的</w:t>
      </w:r>
      <w:r>
        <w:rPr>
          <w:rFonts w:hint="eastAsia" w:ascii="宋体" w:hAnsi="宋体" w:eastAsia="宋体" w:cs="宋体"/>
          <w:color w:val="auto"/>
          <w:sz w:val="24"/>
          <w:szCs w:val="24"/>
          <w:highlight w:val="none"/>
          <w:lang w:eastAsia="zh-CN"/>
        </w:rPr>
        <w:t xml:space="preserve">对象数支付保险费。</w:t>
      </w:r>
      <w:r/>
    </w:p>
    <w:p>
      <w:pPr>
        <w:ind w:left="0" w:right="0" w:firstLine="480"/>
        <w:jc w:val="both"/>
        <w:spacing w:before="0" w:after="0" w:line="499" w:lineRule="atLeast"/>
        <w:shd w:val="clear" w:color="auto" w:fill="ffffff" w:themeFill="background1"/>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分包2承担的区域有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青阳</w:t>
      </w:r>
      <w:r>
        <w:rPr>
          <w:rFonts w:hint="eastAsia" w:ascii="宋体" w:hAnsi="宋体" w:eastAsia="宋体" w:cs="宋体"/>
          <w:color w:val="auto"/>
          <w:sz w:val="24"/>
          <w:highlight w:val="none"/>
          <w:lang w:eastAsia="zh-CN"/>
        </w:rPr>
        <w:t xml:space="preserve">街道</w:t>
      </w:r>
      <w:r>
        <w:rPr>
          <w:rFonts w:hint="eastAsia" w:ascii="宋体" w:hAnsi="宋体" w:eastAsia="宋体" w:cs="宋体"/>
          <w:color w:val="auto"/>
          <w:sz w:val="24"/>
          <w:highlight w:val="none"/>
        </w:rPr>
        <w:t xml:space="preserve">、上塘镇、双沟镇、瑶沟乡、天岗湖乡、孙园镇、洪泽湖农场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分包2</w:t>
      </w:r>
      <w:r>
        <w:rPr>
          <w:rFonts w:hint="eastAsia" w:ascii="宋体" w:hAnsi="宋体" w:eastAsia="宋体" w:cs="宋体"/>
          <w:color w:val="auto"/>
          <w:sz w:val="24"/>
          <w:highlight w:val="none"/>
        </w:rPr>
        <w:t xml:space="preserve">承保人数比例为</w:t>
      </w:r>
      <w:r>
        <w:rPr>
          <w:rFonts w:hint="eastAsia" w:ascii="宋体" w:hAnsi="宋体" w:eastAsia="宋体" w:cs="宋体"/>
          <w:color w:val="auto"/>
          <w:sz w:val="24"/>
          <w:highlight w:val="none"/>
          <w:lang w:val="en-US" w:eastAsia="zh-CN"/>
        </w:rPr>
        <w:t xml:space="preserve">35</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持证残疾人数约为</w:t>
      </w:r>
      <w:r>
        <w:rPr>
          <w:rFonts w:hint="eastAsia" w:ascii="宋体" w:hAnsi="宋体" w:eastAsia="宋体" w:cs="宋体"/>
          <w:color w:val="auto"/>
          <w:sz w:val="24"/>
          <w:highlight w:val="none"/>
          <w:lang w:val="en-US" w:eastAsia="zh-CN"/>
        </w:rPr>
        <w:t xml:space="preserve">11050</w:t>
      </w:r>
      <w:r>
        <w:rPr>
          <w:rFonts w:hint="eastAsia" w:ascii="宋体" w:hAnsi="宋体" w:eastAsia="宋体" w:cs="宋体"/>
          <w:color w:val="auto"/>
          <w:sz w:val="24"/>
          <w:highlight w:val="none"/>
        </w:rPr>
        <w:t xml:space="preserve">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eastAsia="zh-CN"/>
        </w:rPr>
        <w:t xml:space="preserve">。两年保费预算价</w:t>
      </w:r>
      <w:r>
        <w:rPr>
          <w:rFonts w:hint="eastAsia" w:ascii="宋体" w:hAnsi="宋体" w:cs="宋体"/>
          <w:color w:val="auto"/>
          <w:sz w:val="24"/>
          <w:szCs w:val="24"/>
          <w:highlight w:val="none"/>
          <w:lang w:val="en-US" w:eastAsia="zh-CN"/>
        </w:rPr>
        <w:t xml:space="preserve">88.4</w:t>
      </w:r>
      <w:r>
        <w:rPr>
          <w:rFonts w:hint="eastAsia" w:ascii="宋体" w:hAnsi="宋体" w:eastAsia="宋体" w:cs="宋体"/>
          <w:color w:val="auto"/>
          <w:sz w:val="24"/>
          <w:szCs w:val="24"/>
          <w:highlight w:val="none"/>
          <w:lang w:eastAsia="zh-CN"/>
        </w:rPr>
        <w:t xml:space="preserve">万元，每年按实际符合</w:t>
      </w:r>
      <w:r>
        <w:rPr>
          <w:rFonts w:hint="eastAsia" w:ascii="宋体" w:hAnsi="宋体" w:eastAsia="宋体" w:cs="宋体"/>
          <w:color w:val="auto"/>
          <w:sz w:val="24"/>
          <w:szCs w:val="24"/>
          <w:highlight w:val="none"/>
          <w:lang w:val="en-US" w:eastAsia="zh-CN"/>
        </w:rPr>
        <w:t xml:space="preserve">参保条件的</w:t>
      </w:r>
      <w:r>
        <w:rPr>
          <w:rFonts w:hint="eastAsia" w:ascii="宋体" w:hAnsi="宋体" w:eastAsia="宋体" w:cs="宋体"/>
          <w:color w:val="auto"/>
          <w:sz w:val="24"/>
          <w:szCs w:val="24"/>
          <w:highlight w:val="none"/>
          <w:lang w:eastAsia="zh-CN"/>
        </w:rPr>
        <w:t xml:space="preserve">对象数支付保险费。</w:t>
      </w:r>
      <w:r/>
    </w:p>
    <w:p>
      <w:pPr>
        <w:ind w:left="0" w:right="0" w:firstLine="480"/>
        <w:jc w:val="both"/>
        <w:spacing w:before="0" w:after="0" w:line="499" w:lineRule="atLeast"/>
        <w:shd w:val="clear" w:color="auto" w:fill="ffffff" w:themeFill="background1"/>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分包3承担的区域有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重岗街道、梅花镇、归仁镇、金锁镇、朱湖镇、车门乡、魏营镇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分包3</w:t>
      </w:r>
      <w:r>
        <w:rPr>
          <w:rFonts w:hint="eastAsia" w:ascii="宋体" w:hAnsi="宋体" w:eastAsia="宋体" w:cs="宋体"/>
          <w:color w:val="auto"/>
          <w:sz w:val="24"/>
          <w:highlight w:val="none"/>
        </w:rPr>
        <w:t xml:space="preserve">承保人数比例为</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持证残疾人数约为</w:t>
      </w:r>
      <w:r>
        <w:rPr>
          <w:rFonts w:hint="eastAsia" w:ascii="宋体" w:hAnsi="宋体" w:eastAsia="宋体" w:cs="宋体"/>
          <w:color w:val="auto"/>
          <w:sz w:val="24"/>
          <w:highlight w:val="none"/>
          <w:lang w:val="en-US" w:eastAsia="zh-CN"/>
        </w:rPr>
        <w:t xml:space="preserve">9400</w:t>
      </w:r>
      <w:r>
        <w:rPr>
          <w:rFonts w:hint="eastAsia" w:ascii="宋体" w:hAnsi="宋体" w:eastAsia="宋体" w:cs="宋体"/>
          <w:color w:val="auto"/>
          <w:sz w:val="24"/>
          <w:highlight w:val="none"/>
        </w:rPr>
        <w:t xml:space="preserve">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两年保费预算价为</w:t>
      </w:r>
      <w:r>
        <w:rPr>
          <w:rFonts w:hint="eastAsia" w:ascii="宋体" w:hAnsi="宋体" w:eastAsia="宋体" w:cs="宋体"/>
          <w:color w:val="auto"/>
          <w:sz w:val="24"/>
          <w:szCs w:val="24"/>
          <w:highlight w:val="none"/>
          <w:lang w:val="en-US" w:eastAsia="zh-CN"/>
        </w:rPr>
        <w:t xml:space="preserve">75.2</w:t>
      </w:r>
      <w:r>
        <w:rPr>
          <w:rFonts w:hint="eastAsia" w:ascii="宋体" w:hAnsi="宋体" w:eastAsia="宋体" w:cs="宋体"/>
          <w:color w:val="auto"/>
          <w:sz w:val="24"/>
          <w:szCs w:val="24"/>
          <w:highlight w:val="none"/>
          <w:lang w:eastAsia="zh-CN"/>
        </w:rPr>
        <w:t xml:space="preserve">万元，每年按实际符合</w:t>
      </w:r>
      <w:r>
        <w:rPr>
          <w:rFonts w:hint="eastAsia" w:ascii="宋体" w:hAnsi="宋体" w:eastAsia="宋体" w:cs="宋体"/>
          <w:color w:val="auto"/>
          <w:sz w:val="24"/>
          <w:szCs w:val="24"/>
          <w:highlight w:val="none"/>
          <w:lang w:val="en-US" w:eastAsia="zh-CN"/>
        </w:rPr>
        <w:t xml:space="preserve">参保条件的</w:t>
      </w:r>
      <w:r>
        <w:rPr>
          <w:rFonts w:hint="eastAsia" w:ascii="宋体" w:hAnsi="宋体" w:eastAsia="宋体" w:cs="宋体"/>
          <w:color w:val="auto"/>
          <w:sz w:val="24"/>
          <w:szCs w:val="24"/>
          <w:highlight w:val="none"/>
          <w:lang w:eastAsia="zh-CN"/>
        </w:rPr>
        <w:t xml:space="preserve">对象数支付保险费。</w:t>
      </w:r>
      <w:r/>
    </w:p>
    <w:p>
      <w:pPr>
        <w:ind w:left="0" w:right="0" w:firstLine="480"/>
        <w:jc w:val="both"/>
        <w:spacing w:before="0" w:after="0" w:line="499" w:lineRule="atLeast"/>
        <w:shd w:val="clear" w:color="auto" w:fill="ffffff" w:themeFill="background1"/>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开评标顺序：开标顺序按</w:t>
      </w:r>
      <w:r>
        <w:rPr>
          <w:rFonts w:hint="eastAsia" w:ascii="宋体" w:hAnsi="宋体" w:eastAsia="宋体" w:cs="宋体"/>
          <w:color w:val="auto"/>
          <w:sz w:val="24"/>
          <w:szCs w:val="24"/>
          <w:highlight w:val="none"/>
          <w:lang w:eastAsia="zh-CN"/>
        </w:rPr>
        <w:t xml:space="preserve">分包</w:t>
      </w:r>
      <w:r>
        <w:rPr>
          <w:rFonts w:hint="eastAsia" w:ascii="宋体" w:hAnsi="宋体" w:eastAsia="宋体" w:cs="宋体"/>
          <w:color w:val="auto"/>
          <w:sz w:val="24"/>
          <w:szCs w:val="24"/>
          <w:highlight w:val="none"/>
        </w:rPr>
        <w:t xml:space="preserve">顺序（即</w:t>
      </w:r>
      <w:r>
        <w:rPr>
          <w:rFonts w:hint="eastAsia" w:ascii="宋体" w:hAnsi="宋体" w:eastAsia="宋体" w:cs="宋体"/>
          <w:color w:val="auto"/>
          <w:sz w:val="24"/>
          <w:szCs w:val="24"/>
          <w:highlight w:val="none"/>
          <w:lang w:eastAsia="zh-CN"/>
        </w:rPr>
        <w:t xml:space="preserve">分包</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分包</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分包</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），评标顺序同开标顺序。</w:t>
      </w:r>
      <w:r/>
    </w:p>
    <w:p>
      <w:pPr>
        <w:ind w:left="0" w:right="0" w:firstLine="480"/>
        <w:jc w:val="both"/>
        <w:spacing w:before="0" w:after="0" w:line="499" w:lineRule="atLeast"/>
        <w:shd w:val="clear" w:color="auto" w:fill="ffffff" w:themeFill="background1"/>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定标原则：每位供应商只能在一个</w:t>
      </w:r>
      <w:r>
        <w:rPr>
          <w:rFonts w:hint="eastAsia" w:ascii="宋体" w:hAnsi="宋体" w:eastAsia="宋体" w:cs="宋体"/>
          <w:color w:val="auto"/>
          <w:sz w:val="24"/>
          <w:szCs w:val="24"/>
          <w:highlight w:val="none"/>
          <w:lang w:eastAsia="zh-CN"/>
        </w:rPr>
        <w:t xml:space="preserve">分包</w:t>
      </w:r>
      <w:r>
        <w:rPr>
          <w:rFonts w:hint="eastAsia" w:ascii="宋体" w:hAnsi="宋体" w:eastAsia="宋体" w:cs="宋体"/>
          <w:color w:val="auto"/>
          <w:sz w:val="24"/>
          <w:szCs w:val="24"/>
          <w:highlight w:val="none"/>
        </w:rPr>
        <w:t xml:space="preserve">上</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。如某供应商已在其中 1 个</w:t>
      </w:r>
      <w:r>
        <w:rPr>
          <w:rFonts w:hint="eastAsia" w:ascii="宋体" w:hAnsi="宋体" w:eastAsia="宋体" w:cs="宋体"/>
          <w:color w:val="auto"/>
          <w:sz w:val="24"/>
          <w:szCs w:val="24"/>
          <w:highlight w:val="none"/>
          <w:lang w:eastAsia="zh-CN"/>
        </w:rPr>
        <w:t xml:space="preserve">分包</w:t>
      </w:r>
      <w:r>
        <w:rPr>
          <w:rFonts w:hint="eastAsia" w:ascii="宋体" w:hAnsi="宋体" w:eastAsia="宋体" w:cs="宋体"/>
          <w:color w:val="auto"/>
          <w:sz w:val="24"/>
          <w:szCs w:val="24"/>
          <w:highlight w:val="none"/>
        </w:rPr>
        <w:t xml:space="preserve">被推荐为第一</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候选人的，则其仍参与其他</w:t>
      </w:r>
      <w:r>
        <w:rPr>
          <w:rFonts w:hint="eastAsia" w:ascii="宋体" w:hAnsi="宋体" w:eastAsia="宋体" w:cs="宋体"/>
          <w:color w:val="auto"/>
          <w:sz w:val="24"/>
          <w:szCs w:val="24"/>
          <w:highlight w:val="none"/>
          <w:lang w:eastAsia="zh-CN"/>
        </w:rPr>
        <w:t xml:space="preserve">分包</w:t>
      </w:r>
      <w:r>
        <w:rPr>
          <w:rFonts w:hint="eastAsia" w:ascii="宋体" w:hAnsi="宋体" w:eastAsia="宋体" w:cs="宋体"/>
          <w:color w:val="auto"/>
          <w:sz w:val="24"/>
          <w:szCs w:val="24"/>
          <w:highlight w:val="none"/>
        </w:rPr>
        <w:t xml:space="preserve">的评标，但不参与推荐</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候选人的排序。详细采购需求见各分包采购文件采购需求部分。</w:t>
      </w:r>
      <w:r/>
    </w:p>
    <w:p>
      <w:pPr>
        <w:ind w:left="0" w:right="0" w:firstLine="480"/>
        <w:jc w:val="both"/>
        <w:spacing w:before="0" w:after="0" w:line="499" w:lineRule="atLeast"/>
        <w:shd w:val="clear" w:color="auto" w:fill="ffffff" w:themeFill="background1"/>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由于每年度符合参保条件的人数中途可能会发生变动，按实际名单人数出具保险保单。年度保险期间人员超出承包比例：</w:t>
      </w: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％、30％时，由采购人协调中标单位跨区域出单。</w:t>
      </w:r>
      <w:r/>
    </w:p>
    <w:p>
      <w:pPr>
        <w:ind w:left="0" w:right="0" w:firstLine="480"/>
        <w:jc w:val="both"/>
        <w:spacing w:before="0" w:after="0" w:line="499" w:lineRule="atLeast"/>
        <w:shd w:val="clear" w:color="auto" w:fill="ffffff" w:themeFill="background1"/>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w:t>
      </w:r>
      <w:bookmarkStart w:id="15" w:name="OLE_LINK36"/>
      <w:r>
        <w:rPr>
          <w:rFonts w:hint="eastAsia" w:ascii="宋体" w:hAnsi="宋体" w:eastAsia="宋体" w:cs="宋体"/>
          <w:color w:val="auto"/>
          <w:sz w:val="24"/>
          <w:szCs w:val="24"/>
          <w:highlight w:val="none"/>
        </w:rPr>
        <w:t xml:space="preserve">合同履行期限：</w:t>
      </w:r>
      <w:bookmarkEnd w:id="15"/>
      <w:r/>
      <w:bookmarkStart w:id="16" w:name="EBb920db3eebc44049b2d27a5203bb6f6d"/>
      <w:r>
        <w:rPr>
          <w:rFonts w:hint="eastAsia" w:ascii="宋体" w:hAnsi="宋体" w:eastAsia="宋体" w:cs="宋体"/>
          <w:color w:val="auto"/>
          <w:sz w:val="24"/>
          <w:szCs w:val="24"/>
          <w:highlight w:val="none"/>
        </w:rPr>
        <w:t xml:space="preserve">2 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年01月01日至202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年12月31日）</w:t>
      </w:r>
      <w:bookmarkEnd w:id="16"/>
      <w:r>
        <w:rPr>
          <w:rFonts w:hint="eastAsia" w:ascii="宋体" w:hAnsi="宋体" w:cs="宋体"/>
          <w:color w:val="auto"/>
          <w:sz w:val="24"/>
          <w:szCs w:val="24"/>
          <w:highlight w:val="none"/>
          <w:lang w:eastAsia="zh-CN"/>
        </w:rPr>
        <w:t xml:space="preserve">。</w:t>
      </w:r>
      <w:r/>
    </w:p>
    <w:p>
      <w:pPr>
        <w:ind w:firstLine="480"/>
        <w:spacing w:line="559" w:lineRule="atLeas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7.本项目 </w:t>
      </w:r>
      <w:r>
        <w:rPr>
          <w:rFonts w:hint="eastAsia" w:ascii="宋体" w:hAnsi="宋体" w:eastAsia="宋体" w:cs="宋体"/>
          <w:color w:val="auto"/>
          <w:sz w:val="24"/>
          <w:highlight w:val="none"/>
          <w:u w:val="single"/>
        </w:rPr>
        <w:t xml:space="preserve">不接受 </w:t>
      </w:r>
      <w:r>
        <w:rPr>
          <w:rFonts w:hint="eastAsia" w:ascii="宋体" w:hAnsi="宋体" w:eastAsia="宋体" w:cs="宋体"/>
          <w:color w:val="auto"/>
          <w:sz w:val="24"/>
          <w:highlight w:val="none"/>
        </w:rPr>
        <w:t xml:space="preserve"> 联合体投标。</w:t>
      </w:r>
      <w:r/>
    </w:p>
    <w:p>
      <w:pPr>
        <w:pStyle w:val="777"/>
        <w:ind w:firstLine="321"/>
        <w:spacing w:before="0" w:after="0" w:line="520" w:lineRule="exact"/>
        <w:shd w:val="clear" w:color="auto" w:fill="ffffff" w:themeFill="background1"/>
        <w:rPr>
          <w:rFonts w:hint="eastAsia" w:ascii="宋体" w:hAnsi="宋体" w:eastAsia="宋体" w:cs="宋体"/>
          <w:b/>
          <w:bCs/>
          <w:color w:val="auto"/>
          <w:sz w:val="32"/>
          <w:highlight w:val="none"/>
        </w:rPr>
      </w:pPr>
      <w:r/>
      <w:bookmarkStart w:id="17" w:name="_Toc35393622"/>
      <w:r/>
      <w:bookmarkStart w:id="18" w:name="_Toc38985264"/>
      <w:r/>
      <w:bookmarkStart w:id="19" w:name="_Toc28359080"/>
      <w:r/>
      <w:bookmarkStart w:id="20" w:name="_Toc35393791"/>
      <w:r/>
      <w:bookmarkStart w:id="21" w:name="_Toc28359003"/>
      <w:r>
        <w:rPr>
          <w:rFonts w:hint="eastAsia" w:ascii="宋体" w:hAnsi="宋体" w:eastAsia="宋体" w:cs="宋体"/>
          <w:b/>
          <w:bCs/>
          <w:color w:val="auto"/>
          <w:sz w:val="32"/>
          <w:highlight w:val="none"/>
        </w:rPr>
        <w:t xml:space="preserve">二、申请人的资格要求</w:t>
      </w:r>
      <w:bookmarkEnd w:id="17"/>
      <w:r/>
      <w:bookmarkEnd w:id="18"/>
      <w:r/>
      <w:bookmarkEnd w:id="19"/>
      <w:r/>
      <w:bookmarkEnd w:id="20"/>
      <w:r/>
      <w:bookmarkEnd w:id="21"/>
      <w:r/>
      <w:r/>
    </w:p>
    <w:p>
      <w:pPr>
        <w:ind w:firstLine="482"/>
        <w:spacing w:line="480" w:lineRule="exact"/>
        <w:shd w:val="clear" w:color="auto" w:fill="ffffff" w:themeFill="background1"/>
        <w:rPr>
          <w:rFonts w:hint="eastAsia" w:ascii="宋体" w:hAnsi="宋体" w:eastAsia="宋体" w:cs="宋体"/>
          <w:color w:val="auto"/>
          <w:sz w:val="24"/>
          <w:szCs w:val="24"/>
          <w:highlight w:val="none"/>
        </w:rPr>
      </w:pPr>
      <w:r/>
      <w:bookmarkStart w:id="22" w:name="_Toc28359081"/>
      <w:r/>
      <w:bookmarkStart w:id="23" w:name="_Toc35393792"/>
      <w:r/>
      <w:bookmarkStart w:id="24" w:name="_Toc28359004"/>
      <w:r/>
      <w:bookmarkStart w:id="25" w:name="_Toc38985265"/>
      <w:r/>
      <w:bookmarkStart w:id="26" w:name="_Toc35393623"/>
      <w:r>
        <w:rPr>
          <w:rFonts w:hint="eastAsia" w:ascii="宋体" w:hAnsi="宋体" w:eastAsia="宋体" w:cs="宋体"/>
          <w:color w:val="auto"/>
          <w:sz w:val="24"/>
          <w:szCs w:val="24"/>
          <w:highlight w:val="none"/>
        </w:rPr>
        <w:t xml:space="preserve">（一）通用资格要求</w:t>
      </w:r>
      <w:r/>
    </w:p>
    <w:p>
      <w:pPr>
        <w:ind w:firstLine="482"/>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27" w:name="OLE_LINK11"/>
      <w:r>
        <w:rPr>
          <w:rFonts w:hint="eastAsia" w:ascii="宋体" w:hAnsi="宋体" w:eastAsia="宋体" w:cs="宋体"/>
          <w:color w:val="auto"/>
          <w:sz w:val="24"/>
          <w:szCs w:val="24"/>
          <w:highlight w:val="none"/>
        </w:rPr>
        <w:t xml:space="preserve">具备《中华人民共和国政府采购法》第二十二条第一款规定的6项条件（按要求提供响应声明及承诺函）。</w:t>
      </w:r>
      <w:bookmarkEnd w:id="27"/>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2.信用信息。</w:t>
      </w:r>
      <w:bookmarkStart w:id="28" w:name="OLE_LINK66"/>
      <w:r/>
      <w:bookmarkStart w:id="29" w:name="OLE_LINK65"/>
      <w:r>
        <w:rPr>
          <w:rFonts w:hint="eastAsia" w:ascii="宋体" w:hAnsi="宋体" w:eastAsia="宋体" w:cs="宋体"/>
          <w:color w:val="auto"/>
          <w:sz w:val="24"/>
          <w:highlight w:val="none"/>
        </w:rPr>
        <w:t xml:space="preserve">信用信息查询渠道：“信用中国”网（www.creditchina.gov.cn）、“中国政府采购”网（www.ccgp.gov.cn）、江苏政府采购网（www.ccgp-jiangsu.gov.cn）。  </w:t>
      </w:r>
      <w:bookmarkEnd w:id="28"/>
      <w:r>
        <w:rPr>
          <w:rFonts w:hint="eastAsia" w:ascii="宋体" w:hAnsi="宋体" w:eastAsia="宋体" w:cs="宋体"/>
          <w:color w:val="auto"/>
          <w:sz w:val="24"/>
          <w:highlight w:val="none"/>
        </w:rPr>
        <w:t xml:space="preserve">  </w:t>
      </w:r>
      <w:r/>
    </w:p>
    <w:p>
      <w:pPr>
        <w:ind w:left="0" w:right="0" w:firstLine="480"/>
        <w:jc w:val="both"/>
        <w:spacing w:before="0" w:after="0" w:line="499" w:lineRule="atLeast"/>
        <w:shd w:val="clear" w:color="auto" w:fill="ffffff" w:themeFill="background1"/>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中无需提供证明材料）。信用信息查询截止时</w:t>
      </w:r>
      <w:r>
        <w:rPr>
          <w:rFonts w:hint="eastAsia" w:ascii="宋体" w:hAnsi="宋体" w:eastAsia="宋体" w:cs="宋体"/>
          <w:color w:val="auto"/>
          <w:sz w:val="24"/>
          <w:highlight w:val="none"/>
          <w:lang w:val="en-US" w:eastAsia="zh-CN"/>
        </w:rPr>
        <w:t xml:space="preserve">间</w:t>
      </w:r>
      <w:r>
        <w:rPr>
          <w:rFonts w:hint="eastAsia" w:ascii="宋体" w:hAnsi="宋体" w:eastAsia="宋体" w:cs="宋体"/>
          <w:color w:val="auto"/>
          <w:sz w:val="24"/>
          <w:highlight w:val="none"/>
        </w:rPr>
        <w:t xml:space="preserve">：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bookmarkEnd w:id="29"/>
      <w:r/>
      <w:r/>
    </w:p>
    <w:p>
      <w:pPr>
        <w:ind w:firstLine="480"/>
        <w:spacing w:line="559" w:lineRule="atLeast"/>
        <w:shd w:val="clear" w:color="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w:t>
      </w:r>
      <w:bookmarkStart w:id="30" w:name="OLE_LINK67"/>
      <w:r>
        <w:rPr>
          <w:rFonts w:hint="eastAsia" w:ascii="宋体" w:hAnsi="宋体" w:eastAsia="宋体" w:cs="宋体"/>
          <w:color w:val="auto"/>
          <w:sz w:val="24"/>
          <w:highlight w:val="none"/>
        </w:rPr>
        <w:t xml:space="preserve">不接受联合体投标</w:t>
      </w:r>
      <w:bookmarkEnd w:id="30"/>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（二）落实政府采购政策需满足的资格要求：</w:t>
      </w:r>
      <w:bookmarkStart w:id="31" w:name="OLE_LINK68"/>
      <w:r>
        <w:rPr>
          <w:rFonts w:hint="eastAsia" w:ascii="宋体" w:hAnsi="宋体" w:eastAsia="宋体" w:cs="宋体"/>
          <w:color w:val="auto"/>
          <w:sz w:val="24"/>
          <w:highlight w:val="none"/>
        </w:rPr>
        <w:t xml:space="preserve">对符合规定情形的小微企业报价给予1</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%扣除，用扣除后的价格参加评审。</w:t>
      </w:r>
      <w:bookmarkEnd w:id="31"/>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（三）本项目的特定资格要求：</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是经中国银行保险监督管理委员会批准的中国境内保险公司且具有银保监会核批的经营保险业务许可证，业务范围须包含意外伤害保险和短期健康险。</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2、同一保险集团公司参与本项目投标的公司仅限一家，否则均按无效标处理。</w:t>
      </w:r>
      <w:r/>
    </w:p>
    <w:p>
      <w:pPr>
        <w:pStyle w:val="777"/>
        <w:ind w:firstLine="321"/>
        <w:spacing w:before="0" w:after="0" w:line="520" w:lineRule="exact"/>
        <w:shd w:val="clear" w:color="auto" w:fill="ffffff" w:themeFill="background1"/>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三、获取磋商文件</w:t>
      </w:r>
      <w:bookmarkEnd w:id="22"/>
      <w:r/>
      <w:bookmarkEnd w:id="23"/>
      <w:r/>
      <w:bookmarkEnd w:id="24"/>
      <w:r/>
      <w:bookmarkEnd w:id="25"/>
      <w:r/>
      <w:bookmarkEnd w:id="26"/>
      <w:r/>
      <w:r/>
    </w:p>
    <w:p>
      <w:pPr>
        <w:ind w:firstLine="482"/>
        <w:spacing w:line="480" w:lineRule="exact"/>
        <w:shd w:val="clear" w:color="auto" w:fill="ffffff" w:themeFill="background1"/>
        <w:rPr>
          <w:rFonts w:hint="eastAsia" w:ascii="宋体" w:hAnsi="宋体" w:eastAsia="宋体" w:cs="宋体"/>
          <w:color w:val="auto"/>
          <w:sz w:val="24"/>
          <w:szCs w:val="24"/>
          <w:highlight w:val="none"/>
        </w:rPr>
      </w:pPr>
      <w:r/>
      <w:bookmarkStart w:id="32" w:name="_Toc28359005"/>
      <w:r/>
      <w:bookmarkStart w:id="33" w:name="_Toc38985266"/>
      <w:r/>
      <w:bookmarkStart w:id="34" w:name="_Toc35393793"/>
      <w:r/>
      <w:bookmarkStart w:id="35" w:name="_Toc35393624"/>
      <w:r/>
      <w:bookmarkStart w:id="36" w:name="_Toc28359082"/>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val="en-US" w:eastAsia="zh-CN"/>
        </w:rPr>
        <w:t xml:space="preserve">自磋商文件公告发布之日起5个工作日</w:t>
      </w:r>
      <w:r>
        <w:rPr>
          <w:rFonts w:hint="eastAsia" w:ascii="宋体" w:hAnsi="宋体" w:cs="宋体"/>
          <w:color w:val="auto"/>
          <w:sz w:val="24"/>
          <w:szCs w:val="24"/>
          <w:highlight w:val="none"/>
          <w:lang w:val="en-US" w:eastAsia="zh-CN"/>
        </w:rPr>
        <w:t xml:space="preserve">，</w:t>
      </w:r>
      <w:bookmarkStart w:id="37" w:name="OLE_LINK37"/>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18</w:t>
      </w:r>
      <w:r>
        <w:rPr>
          <w:rFonts w:hint="eastAsia" w:ascii="宋体" w:hAnsi="宋体" w:eastAsia="宋体" w:cs="宋体"/>
          <w:color w:val="auto"/>
          <w:sz w:val="24"/>
          <w:highlight w:val="none"/>
        </w:rPr>
        <w:t xml:space="preserve">日至202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24</w:t>
      </w:r>
      <w:r>
        <w:rPr>
          <w:rFonts w:hint="eastAsia" w:ascii="宋体" w:hAnsi="宋体" w:eastAsia="宋体" w:cs="宋体"/>
          <w:color w:val="auto"/>
          <w:sz w:val="24"/>
          <w:highlight w:val="none"/>
        </w:rPr>
        <w:t xml:space="preserve">日，每天上午00:00-12:00，下午 12:00- 23：59（北京时间，法定节假日除外）</w:t>
      </w:r>
      <w:bookmarkEnd w:id="37"/>
      <w:r>
        <w:rPr>
          <w:rFonts w:hint="eastAsia" w:ascii="宋体" w:hAnsi="宋体" w:eastAsia="宋体" w:cs="宋体"/>
          <w:color w:val="auto"/>
          <w:sz w:val="24"/>
          <w:szCs w:val="24"/>
          <w:highlight w:val="none"/>
        </w:rPr>
        <w:t xml:space="preserve">。</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38" w:name="EB0c44ff4da61f4af989d119fe214be450"/>
      <w:r>
        <w:rPr>
          <w:rFonts w:hint="eastAsia" w:ascii="宋体" w:hAnsi="宋体" w:eastAsia="宋体" w:cs="宋体"/>
          <w:color w:val="auto"/>
          <w:sz w:val="24"/>
          <w:highlight w:val="none"/>
        </w:rPr>
        <w:t xml:space="preserve">2.地点：</w:t>
      </w:r>
      <w:bookmarkStart w:id="39" w:name="OLE_LINK32"/>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应在</w:t>
      </w:r>
      <w:r>
        <w:rPr>
          <w:rFonts w:hint="eastAsia" w:ascii="宋体" w:hAnsi="宋体" w:eastAsia="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文件提供的时间内，通过“苏采云”系统（网址： http://jszfcg.jsczt.cn/）或宿迁市政府采购网点击“政府采购管理交易系统（苏采云）”，使用CA锁进入系统从“项目参与”--“采购项目”菜单中，找到本项目获取采购文件（后缀名为“.kedt”）。</w:t>
      </w:r>
      <w:bookmarkEnd w:id="39"/>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3.方式：</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应在</w:t>
      </w:r>
      <w:r>
        <w:rPr>
          <w:rFonts w:hint="eastAsia" w:ascii="宋体" w:hAnsi="宋体" w:eastAsia="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59" w:lineRule="atLeas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w:t>
      </w:r>
      <w:bookmarkEnd w:id="32"/>
      <w:r/>
      <w:bookmarkEnd w:id="33"/>
      <w:r/>
      <w:bookmarkEnd w:id="34"/>
      <w:r/>
      <w:bookmarkEnd w:id="35"/>
      <w:r/>
      <w:bookmarkEnd w:id="36"/>
      <w:r/>
      <w:bookmarkEnd w:id="38"/>
      <w:r>
        <w:rPr>
          <w:rFonts w:hint="eastAsia" w:ascii="宋体" w:hAnsi="宋体" w:eastAsia="宋体" w:cs="宋体"/>
          <w:color w:val="auto"/>
          <w:sz w:val="24"/>
          <w:highlight w:val="none"/>
        </w:rPr>
        <w:t xml:space="preserve">本项目共分</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个包。供应商参与多个包投标的，应按包分别获取采购文件。供应商未按要求获取</w:t>
      </w:r>
      <w:r>
        <w:rPr>
          <w:rFonts w:hint="eastAsia" w:ascii="宋体" w:hAnsi="宋体" w:eastAsia="宋体" w:cs="宋体"/>
          <w:color w:val="auto"/>
          <w:sz w:val="24"/>
          <w:highlight w:val="none"/>
          <w:lang w:val="en-US" w:eastAsia="zh-CN"/>
        </w:rPr>
        <w:t xml:space="preserve">磋商文件</w:t>
      </w:r>
      <w:r>
        <w:rPr>
          <w:rFonts w:hint="eastAsia" w:ascii="宋体" w:hAnsi="宋体" w:eastAsia="宋体" w:cs="宋体"/>
          <w:color w:val="auto"/>
          <w:sz w:val="24"/>
          <w:highlight w:val="none"/>
        </w:rPr>
        <w:t xml:space="preserve">导致无法投标的，后果自负（其</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不予接受）。</w:t>
      </w:r>
      <w:r/>
    </w:p>
    <w:p>
      <w:pPr>
        <w:pStyle w:val="777"/>
        <w:ind w:firstLine="321"/>
        <w:spacing w:before="0" w:after="0" w:line="520" w:lineRule="exact"/>
        <w:shd w:val="clear" w:color="auto" w:fill="ffffff" w:themeFill="background1"/>
        <w:rPr>
          <w:rFonts w:hint="eastAsia" w:ascii="宋体" w:hAnsi="宋体" w:eastAsia="宋体" w:cs="宋体"/>
          <w:b/>
          <w:bCs/>
          <w:color w:val="auto"/>
          <w:sz w:val="32"/>
          <w:highlight w:val="none"/>
        </w:rPr>
      </w:pPr>
      <w:r/>
      <w:bookmarkStart w:id="40" w:name="_Toc35393794"/>
      <w:r/>
      <w:bookmarkStart w:id="41" w:name="_Toc28359084"/>
      <w:r/>
      <w:bookmarkStart w:id="42" w:name="_Toc38985267"/>
      <w:r/>
      <w:bookmarkStart w:id="43" w:name="_Toc35393625"/>
      <w:r/>
      <w:bookmarkStart w:id="44" w:name="_Toc28359007"/>
      <w:r>
        <w:rPr>
          <w:rFonts w:hint="eastAsia" w:ascii="宋体" w:hAnsi="宋体" w:eastAsia="宋体" w:cs="宋体"/>
          <w:b/>
          <w:bCs/>
          <w:color w:val="auto"/>
          <w:sz w:val="32"/>
          <w:highlight w:val="none"/>
        </w:rPr>
        <w:t xml:space="preserve">四、提交响应文件截止时间、磋商时间及地点</w:t>
      </w:r>
      <w:r/>
    </w:p>
    <w:p>
      <w:pPr>
        <w:ind w:firstLine="482"/>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1.提交响应文件截止时间、磋商时间：2025年</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日09点</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分（北京时间）。</w:t>
      </w:r>
      <w:r/>
    </w:p>
    <w:p>
      <w:pPr>
        <w:ind w:firstLine="480"/>
        <w:spacing w:line="558" w:lineRule="atLeast"/>
        <w:shd w:val="clear" w:color="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highlight w:val="none"/>
        </w:rPr>
        <w:t xml:space="preserve">地点：“苏采云”系统（网址： http://jszfcg.jsczt.cn/）。</w:t>
      </w:r>
      <w:r/>
    </w:p>
    <w:p>
      <w:pPr>
        <w:pStyle w:val="777"/>
        <w:ind w:firstLine="321"/>
        <w:spacing w:before="0" w:after="0" w:line="520" w:lineRule="exact"/>
        <w:shd w:val="clear" w:color="auto" w:fill="ffffff" w:themeFill="background1"/>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五、公告期限</w:t>
      </w:r>
      <w:bookmarkEnd w:id="40"/>
      <w:r/>
      <w:bookmarkEnd w:id="41"/>
      <w:r/>
      <w:bookmarkEnd w:id="42"/>
      <w:r/>
      <w:bookmarkEnd w:id="43"/>
      <w:r/>
      <w:bookmarkEnd w:id="44"/>
      <w:r/>
      <w:r/>
    </w:p>
    <w:p>
      <w:pPr>
        <w:ind w:firstLine="482"/>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磋商公告及磋商文件公告期限为自本公告发布之日起</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个工作日。采购公告发布媒体：宿迁市政府采购网、</w:t>
      </w:r>
      <w:r>
        <w:rPr>
          <w:rFonts w:hint="eastAsia" w:ascii="宋体" w:hAnsi="宋体" w:eastAsia="宋体" w:cs="宋体"/>
          <w:color w:val="auto"/>
          <w:sz w:val="24"/>
          <w:szCs w:val="24"/>
          <w:highlight w:val="none"/>
          <w:lang w:val="en-US" w:eastAsia="zh-CN"/>
        </w:rPr>
        <w:t xml:space="preserve">宿迁市公共资源交易平台、</w:t>
      </w:r>
      <w:r>
        <w:rPr>
          <w:rFonts w:hint="eastAsia" w:ascii="宋体" w:hAnsi="宋体" w:eastAsia="宋体" w:cs="宋体"/>
          <w:color w:val="auto"/>
          <w:sz w:val="24"/>
          <w:szCs w:val="24"/>
          <w:highlight w:val="none"/>
        </w:rPr>
        <w:t xml:space="preserve">江苏省财政部门指定的媒体。</w:t>
      </w:r>
      <w:r/>
    </w:p>
    <w:p>
      <w:pPr>
        <w:pStyle w:val="777"/>
        <w:ind w:firstLine="321"/>
        <w:spacing w:before="0" w:after="0" w:line="520" w:lineRule="exact"/>
        <w:shd w:val="clear" w:color="auto" w:fill="ffffff" w:themeFill="background1"/>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六、其他补充事宜</w:t>
      </w:r>
      <w:r/>
    </w:p>
    <w:p>
      <w:pPr>
        <w:ind w:firstLine="480"/>
        <w:spacing w:line="49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bookmarkStart w:id="45" w:name="OLE_LINK35"/>
      <w:r/>
      <w:bookmarkStart w:id="46" w:name="_Toc28359085"/>
      <w:r/>
      <w:bookmarkStart w:id="47" w:name="_Toc35393796"/>
      <w:r/>
      <w:bookmarkStart w:id="48" w:name="_Toc38985269"/>
      <w:r/>
      <w:bookmarkStart w:id="49" w:name="_Toc35393627"/>
      <w:r/>
      <w:bookmarkStart w:id="50" w:name="_Toc28359008"/>
      <w:r>
        <w:rPr>
          <w:rFonts w:hint="eastAsia" w:ascii="宋体" w:hAnsi="宋体" w:eastAsia="宋体" w:cs="宋体"/>
          <w:color w:val="auto"/>
          <w:sz w:val="24"/>
          <w:highlight w:val="none"/>
        </w:rPr>
        <w:t xml:space="preserve">1.财政部门监督电话：</w:t>
      </w:r>
      <w:r>
        <w:rPr>
          <w:rFonts w:hint="eastAsia" w:ascii="宋体" w:hAnsi="宋体" w:eastAsia="宋体" w:cs="宋体"/>
          <w:b/>
          <w:color w:val="auto"/>
          <w:sz w:val="24"/>
          <w:highlight w:val="none"/>
          <w:u w:val="single"/>
        </w:rPr>
        <w:t xml:space="preserve">0527-88359233。</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3.宿迁地区“苏采云”技术支持客服电话：0527-84225125、0519-86722806。</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4.如果</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通过苏采云系统参与政府采购项目，相关操作手册详见链：http://www.ccgpjiangsu.gov.cn/jiangsu/zlxz/ee/ee3a4bc5a3454aa2b0d9312230633ce9.html。</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5.现场勘察及答疑：本项目不组织集中勘察及答疑，</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如对采购需求有疑问，请咨询采购单位联系人。 </w:t>
      </w:r>
      <w:bookmarkEnd w:id="45"/>
      <w:r/>
      <w:r/>
    </w:p>
    <w:p>
      <w:pPr>
        <w:pStyle w:val="777"/>
        <w:ind w:firstLine="321"/>
        <w:spacing w:before="0" w:after="0" w:line="520" w:lineRule="exact"/>
        <w:shd w:val="clear" w:color="auto" w:fill="ffffff" w:themeFill="background1"/>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七、本次磋商联系方式</w:t>
      </w:r>
      <w:bookmarkEnd w:id="46"/>
      <w:r/>
      <w:bookmarkEnd w:id="47"/>
      <w:r/>
      <w:bookmarkEnd w:id="48"/>
      <w:r/>
      <w:bookmarkEnd w:id="49"/>
      <w:r/>
      <w:bookmarkEnd w:id="50"/>
      <w:r/>
      <w:r/>
    </w:p>
    <w:p>
      <w:pPr>
        <w:ind w:firstLine="482"/>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2"/>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泗洪县残疾人联合会</w:t>
      </w:r>
      <w:r/>
    </w:p>
    <w:p>
      <w:pPr>
        <w:ind w:firstLine="482"/>
        <w:spacing w:line="480" w:lineRule="exact"/>
        <w:shd w:val="clear" w:color="auto" w:fill="ffffff" w:themeFill="background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地址：</w:t>
      </w:r>
      <w:r>
        <w:rPr>
          <w:rFonts w:hint="eastAsia" w:ascii="宋体" w:hAnsi="宋体" w:cs="宋体"/>
          <w:color w:val="auto"/>
          <w:sz w:val="24"/>
          <w:szCs w:val="24"/>
          <w:highlight w:val="none"/>
          <w:lang w:eastAsia="zh-CN"/>
        </w:rPr>
        <w:t xml:space="preserve">泗洪县和谐路7号</w:t>
      </w:r>
      <w:r/>
    </w:p>
    <w:p>
      <w:pPr>
        <w:ind w:firstLine="482"/>
        <w:spacing w:line="480" w:lineRule="exact"/>
        <w:shd w:val="clear" w:color="auto" w:fill="ffffff" w:themeFill="background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联系人：</w:t>
      </w:r>
      <w:r>
        <w:rPr>
          <w:rFonts w:hint="eastAsia" w:ascii="宋体" w:hAnsi="宋体" w:cs="宋体"/>
          <w:color w:val="auto"/>
          <w:sz w:val="24"/>
          <w:szCs w:val="24"/>
          <w:highlight w:val="none"/>
          <w:lang w:eastAsia="zh-CN"/>
        </w:rPr>
        <w:t xml:space="preserve">周</w:t>
      </w:r>
      <w:r>
        <w:rPr>
          <w:rFonts w:hint="eastAsia" w:ascii="宋体" w:hAnsi="宋体" w:cs="宋体"/>
          <w:color w:val="auto"/>
          <w:sz w:val="24"/>
          <w:szCs w:val="24"/>
          <w:highlight w:val="none"/>
          <w:lang w:val="en-US" w:eastAsia="zh-CN"/>
        </w:rPr>
        <w:t xml:space="preserve">凯</w:t>
      </w:r>
      <w:r/>
    </w:p>
    <w:p>
      <w:pPr>
        <w:ind w:firstLine="482"/>
        <w:spacing w:line="480" w:lineRule="exact"/>
        <w:shd w:val="clear" w:color="auto" w:fill="ffffff" w:themeFill="background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联系方式</w:t>
      </w:r>
      <w:bookmarkStart w:id="51" w:name="_Toc28359086"/>
      <w:r/>
      <w:bookmarkStart w:id="52" w:name="_Toc28359009"/>
      <w:r>
        <w:rPr>
          <w:rFonts w:hint="eastAsia" w:ascii="宋体" w:hAnsi="宋体" w:eastAsia="宋体" w:cs="宋体"/>
          <w:color w:val="auto"/>
          <w:sz w:val="24"/>
          <w:szCs w:val="24"/>
          <w:highlight w:val="none"/>
          <w:lang w:eastAsia="zh-CN"/>
        </w:rPr>
        <w:t xml:space="preserve">： </w:t>
      </w:r>
      <w:r>
        <w:rPr>
          <w:rFonts w:hint="eastAsia" w:ascii="宋体" w:hAnsi="宋体" w:cs="宋体"/>
          <w:color w:val="auto"/>
          <w:sz w:val="24"/>
          <w:szCs w:val="24"/>
          <w:highlight w:val="none"/>
          <w:lang w:val="en-US" w:eastAsia="zh-CN"/>
        </w:rPr>
        <w:t xml:space="preserve"> 13852832228</w:t>
      </w:r>
      <w:r/>
    </w:p>
    <w:p>
      <w:pPr>
        <w:ind w:firstLine="482"/>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bookmarkEnd w:id="51"/>
      <w:r/>
      <w:bookmarkEnd w:id="52"/>
      <w:r/>
      <w:r/>
    </w:p>
    <w:p>
      <w:pPr>
        <w:ind w:firstLine="482"/>
        <w:spacing w:line="480" w:lineRule="exact"/>
        <w:shd w:val="clear" w:color="auto" w:fill="ffffff" w:themeFill="background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名称：</w:t>
      </w:r>
      <w:r>
        <w:rPr>
          <w:rFonts w:hint="eastAsia" w:ascii="宋体" w:hAnsi="宋体" w:cs="宋体"/>
          <w:color w:val="auto"/>
          <w:sz w:val="24"/>
          <w:szCs w:val="24"/>
          <w:highlight w:val="none"/>
          <w:lang w:eastAsia="zh-CN"/>
        </w:rPr>
        <w:t xml:space="preserve">江苏襄盛工程咨询有限公司</w:t>
      </w:r>
      <w:r/>
    </w:p>
    <w:p>
      <w:pPr>
        <w:ind w:firstLine="482"/>
        <w:spacing w:line="480" w:lineRule="exact"/>
        <w:shd w:val="clear" w:color="auto" w:fill="ffffff" w:themeFill="background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地址：</w:t>
      </w:r>
      <w:r>
        <w:rPr>
          <w:rFonts w:hint="eastAsia" w:ascii="宋体" w:hAnsi="宋体" w:cs="宋体"/>
          <w:color w:val="auto"/>
          <w:sz w:val="24"/>
          <w:szCs w:val="24"/>
          <w:highlight w:val="none"/>
          <w:lang w:eastAsia="zh-CN"/>
        </w:rPr>
        <w:t xml:space="preserve">泗洪县洪泽湖大街中央公馆63-202室</w:t>
      </w:r>
      <w:r/>
    </w:p>
    <w:p>
      <w:pPr>
        <w:ind w:firstLine="482"/>
        <w:spacing w:line="480" w:lineRule="exact"/>
        <w:shd w:val="clear" w:color="auto" w:fill="ffffff" w:themeFill="background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联系人：</w:t>
      </w:r>
      <w:r>
        <w:rPr>
          <w:rFonts w:hint="eastAsia" w:ascii="宋体" w:hAnsi="宋体" w:cs="宋体"/>
          <w:color w:val="auto"/>
          <w:sz w:val="24"/>
          <w:szCs w:val="24"/>
          <w:highlight w:val="none"/>
          <w:lang w:eastAsia="zh-CN"/>
        </w:rPr>
        <w:t xml:space="preserve">张工</w:t>
      </w:r>
      <w:r>
        <w:rPr>
          <w:rFonts w:hint="eastAsia" w:ascii="宋体" w:hAnsi="宋体" w:eastAsia="宋体" w:cs="宋体"/>
          <w:color w:val="auto"/>
          <w:sz w:val="24"/>
          <w:szCs w:val="24"/>
          <w:highlight w:val="none"/>
          <w:lang w:eastAsia="zh-CN"/>
        </w:rPr>
        <w:t xml:space="preserve"> </w:t>
      </w:r>
      <w:r/>
    </w:p>
    <w:p>
      <w:pPr>
        <w:ind w:firstLine="480"/>
        <w:spacing w:line="559" w:lineRule="atLeast"/>
        <w:shd w:val="clear" w:color="auto" w:fill="ffffff" w:themeFill="background1"/>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联系方式：</w:t>
      </w:r>
      <w:bookmarkStart w:id="53" w:name="OLE_LINK64"/>
      <w:r>
        <w:rPr>
          <w:rFonts w:hint="eastAsia" w:ascii="宋体" w:hAnsi="宋体" w:eastAsia="宋体" w:cs="宋体"/>
          <w:color w:val="auto"/>
          <w:sz w:val="24"/>
          <w:highlight w:val="none"/>
        </w:rPr>
        <w:t xml:space="preserve">19825846139</w:t>
      </w:r>
      <w:bookmarkEnd w:id="53"/>
      <w:r/>
      <w:r/>
    </w:p>
    <w:p>
      <w:pPr>
        <w:ind w:firstLine="482"/>
        <w:spacing w:line="480" w:lineRule="exact"/>
        <w:shd w:val="clear" w:color="auto" w:fill="ffffff" w:themeFill="background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2"/>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6"/>
        <w:jc w:val="center"/>
        <w:spacing w:before="200"/>
        <w:shd w:val="clear" w:color="auto" w:fill="ffffff" w:themeFill="background1"/>
        <w:rPr>
          <w:rFonts w:hint="eastAsia" w:ascii="宋体" w:hAnsi="宋体" w:eastAsia="宋体" w:cs="宋体"/>
          <w:color w:val="auto"/>
          <w:sz w:val="44"/>
          <w:highlight w:val="none"/>
        </w:rPr>
      </w:pPr>
      <w:r>
        <w:rPr>
          <w:rFonts w:hint="eastAsia" w:ascii="宋体" w:hAnsi="宋体" w:eastAsia="宋体" w:cs="宋体"/>
          <w:color w:val="auto"/>
          <w:sz w:val="44"/>
          <w:highlight w:val="none"/>
        </w:rPr>
        <w:br w:type="page" w:clear="all"/>
      </w:r>
      <w:bookmarkStart w:id="54" w:name="_Toc20840"/>
      <w:r/>
      <w:bookmarkStart w:id="55" w:name="_Toc11816"/>
      <w:r/>
      <w:bookmarkStart w:id="56" w:name="_Toc3297"/>
      <w:r/>
      <w:bookmarkStart w:id="57" w:name="_Toc706"/>
      <w:r>
        <w:rPr>
          <w:rFonts w:hint="eastAsia" w:ascii="宋体" w:hAnsi="宋体" w:eastAsia="宋体" w:cs="宋体"/>
          <w:color w:val="auto"/>
          <w:sz w:val="44"/>
          <w:highlight w:val="none"/>
        </w:rPr>
        <w:t xml:space="preserve">第二章  供应商须知</w:t>
      </w:r>
      <w:bookmarkEnd w:id="4"/>
      <w:r/>
      <w:bookmarkEnd w:id="54"/>
      <w:r/>
      <w:bookmarkEnd w:id="55"/>
      <w:r/>
      <w:bookmarkEnd w:id="56"/>
      <w:r/>
      <w:bookmarkEnd w:id="57"/>
      <w:r/>
      <w:bookmarkStart w:id="58" w:name="EBa8c69c4726824205bbf6fbe49f912e2d"/>
      <w:r/>
      <w:bookmarkEnd w:id="58"/>
      <w:r/>
      <w:bookmarkStart w:id="59" w:name="EB154f34bfcea5417199f8cf429c255bfe"/>
      <w:r/>
      <w:bookmarkEnd w:id="59"/>
      <w:r/>
      <w:r/>
    </w:p>
    <w:p>
      <w:pPr>
        <w:pStyle w:val="777"/>
        <w:spacing w:before="0" w:line="520" w:lineRule="exact"/>
        <w:shd w:val="clear" w:color="auto" w:fill="ffffff" w:themeFill="background1"/>
        <w:rPr>
          <w:rFonts w:hint="eastAsia" w:ascii="宋体" w:hAnsi="宋体" w:eastAsia="宋体" w:cs="宋体"/>
          <w:b/>
          <w:bCs/>
          <w:color w:val="auto"/>
          <w:sz w:val="32"/>
          <w:highlight w:val="none"/>
        </w:rPr>
      </w:pPr>
      <w:r/>
      <w:bookmarkStart w:id="60" w:name="_Toc141869961"/>
      <w:r>
        <w:rPr>
          <w:rFonts w:hint="eastAsia" w:ascii="宋体" w:hAnsi="宋体" w:eastAsia="宋体" w:cs="宋体"/>
          <w:b/>
          <w:bCs/>
          <w:color w:val="auto"/>
          <w:sz w:val="32"/>
          <w:highlight w:val="none"/>
        </w:rPr>
        <w:t xml:space="preserve">供应商须知前附表：</w:t>
      </w:r>
      <w:bookmarkEnd w:id="60"/>
      <w:r/>
      <w:r/>
    </w:p>
    <w:tbl>
      <w:tblPr>
        <w:tblStyle w:val="786"/>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shd w:val="clear" w:color="auto" w:fill="ffffff" w:themeFill="background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984" w:type="dxa"/>
            <w:vAlign w:val="center"/>
            <w:textDirection w:val="lrTb"/>
            <w:noWrap w:val="false"/>
          </w:tcPr>
          <w:p>
            <w:pPr>
              <w:jc w:val="center"/>
              <w:shd w:val="clear" w:color="auto" w:fill="ffffff" w:themeFill="background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w:t>
            </w:r>
            <w:r/>
          </w:p>
        </w:tc>
        <w:tc>
          <w:tcPr>
            <w:tcW w:w="5975" w:type="dxa"/>
            <w:vAlign w:val="center"/>
            <w:textDirection w:val="lrTb"/>
            <w:noWrap w:val="false"/>
          </w:tcPr>
          <w:p>
            <w:pPr>
              <w:jc w:val="center"/>
              <w:shd w:val="clear" w:color="auto" w:fill="ffffff" w:themeFill="background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说明及要求</w:t>
            </w:r>
            <w:r/>
          </w:p>
        </w:tc>
      </w:tr>
      <w:tr>
        <w:trPr/>
        <w:tc>
          <w:tcPr>
            <w:shd w:val="clear" w:color="auto" w:fill="auto"/>
            <w:tcW w:w="1101"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w:t>
            </w:r>
            <w:r/>
          </w:p>
        </w:tc>
        <w:tc>
          <w:tcPr>
            <w:shd w:val="clear" w:color="auto" w:fill="auto"/>
            <w:tcW w:w="1984"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特别说明</w:t>
            </w:r>
            <w:r/>
          </w:p>
        </w:tc>
        <w:tc>
          <w:tcPr>
            <w:shd w:val="clear" w:color="auto" w:fill="auto"/>
            <w:tcW w:w="5975" w:type="dxa"/>
            <w:vAlign w:val="center"/>
            <w:textDirection w:val="lrTb"/>
            <w:noWrap w:val="false"/>
          </w:tcPr>
          <w:p>
            <w:pPr>
              <w:shd w:val="clear" w:color="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本</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中“当地公共资源交易中心”是指：</w:t>
            </w:r>
            <w:r>
              <w:rPr>
                <w:rFonts w:hint="eastAsia" w:ascii="宋体" w:hAnsi="宋体" w:eastAsia="宋体" w:cs="宋体"/>
                <w:color w:val="auto"/>
                <w:sz w:val="24"/>
                <w:szCs w:val="24"/>
                <w:highlight w:val="none"/>
                <w:lang w:eastAsia="zh-CN"/>
              </w:rPr>
              <w:t xml:space="preserve">泗洪县公共资源交易中心。</w:t>
            </w:r>
            <w:r/>
          </w:p>
        </w:tc>
      </w:tr>
      <w:tr>
        <w:trPr/>
        <w:tc>
          <w:tcPr>
            <w:tcW w:w="1101" w:type="dxa"/>
            <w:vAlign w:val="center"/>
            <w:textDirection w:val="lrTb"/>
            <w:noWrap w:val="false"/>
          </w:tcPr>
          <w:p>
            <w:pPr>
              <w:jc w:val="center"/>
              <w:spacing w:line="360" w:lineRule="exact"/>
              <w:shd w:val="clear" w:color="auto" w:fill="ffffff" w:themeFill="background1"/>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p>
        </w:tc>
        <w:tc>
          <w:tcPr>
            <w:tcW w:w="1984" w:type="dxa"/>
            <w:vAlign w:val="center"/>
            <w:textDirection w:val="lrTb"/>
            <w:noWrap w:val="false"/>
          </w:tcPr>
          <w:p>
            <w:pPr>
              <w:jc w:val="center"/>
              <w:spacing w:line="36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项目类别</w:t>
            </w:r>
            <w:r/>
          </w:p>
        </w:tc>
        <w:tc>
          <w:tcPr>
            <w:tcW w:w="5975" w:type="dxa"/>
            <w:vAlign w:val="center"/>
            <w:textDirection w:val="lrTb"/>
            <w:noWrap w:val="false"/>
          </w:tcPr>
          <w:p>
            <w:pPr>
              <w:jc w:val="left"/>
              <w:spacing w:line="36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bookmarkStart w:id="61" w:name="EB9a5853ee094f4f0ea6ec3169265f6f2c"/>
            <w:r>
              <w:rPr>
                <w:rFonts w:hint="eastAsia" w:ascii="宋体" w:hAnsi="宋体" w:eastAsia="宋体" w:cs="宋体"/>
                <w:color w:val="auto"/>
                <w:sz w:val="24"/>
                <w:szCs w:val="24"/>
                <w:highlight w:val="none"/>
              </w:rPr>
              <w:t xml:space="preserve">属性按以下第</w:t>
            </w:r>
            <w:r>
              <w:rPr>
                <w:rFonts w:hint="eastAsia" w:ascii="宋体" w:hAnsi="宋体" w:eastAsia="宋体" w:cs="宋体"/>
                <w:b/>
                <w:bCs/>
                <w:color w:val="auto"/>
                <w:sz w:val="24"/>
                <w:highlight w:val="none"/>
                <w:u w:val="single"/>
              </w:rPr>
              <w:t xml:space="preserve">2 </w:t>
            </w:r>
            <w:r>
              <w:rPr>
                <w:rFonts w:hint="eastAsia" w:ascii="宋体" w:hAnsi="宋体" w:eastAsia="宋体" w:cs="宋体"/>
                <w:color w:val="auto"/>
                <w:sz w:val="24"/>
                <w:szCs w:val="24"/>
                <w:highlight w:val="none"/>
              </w:rPr>
              <w:t xml:space="preserve">种确定：</w:t>
            </w:r>
            <w:r/>
          </w:p>
          <w:p>
            <w:pPr>
              <w:jc w:val="left"/>
              <w:spacing w:line="36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61"/>
            <w:r>
              <w:rPr>
                <w:rFonts w:hint="eastAsia" w:ascii="宋体" w:hAnsi="宋体" w:eastAsia="宋体" w:cs="宋体"/>
                <w:color w:val="auto"/>
                <w:sz w:val="24"/>
                <w:szCs w:val="24"/>
                <w:highlight w:val="none"/>
              </w:rPr>
              <w:t xml:space="preserve">.货物</w:t>
            </w:r>
            <w:bookmarkStart w:id="62" w:name="EBd5c6c026f9674c39b21b31ecd0c1e7fa"/>
            <w:r>
              <w:rPr>
                <w:rFonts w:hint="eastAsia" w:ascii="宋体" w:hAnsi="宋体" w:eastAsia="宋体" w:cs="宋体"/>
                <w:color w:val="auto"/>
                <w:sz w:val="24"/>
                <w:szCs w:val="24"/>
                <w:highlight w:val="none"/>
              </w:rPr>
              <w:t xml:space="preserve">采购；2.</w:t>
            </w:r>
            <w:bookmarkEnd w:id="62"/>
            <w:r>
              <w:rPr>
                <w:rFonts w:hint="eastAsia" w:ascii="宋体" w:hAnsi="宋体" w:eastAsia="宋体" w:cs="宋体"/>
                <w:color w:val="auto"/>
                <w:sz w:val="24"/>
                <w:szCs w:val="24"/>
                <w:highlight w:val="none"/>
              </w:rPr>
              <w:t xml:space="preserve">服务</w:t>
            </w:r>
            <w:bookmarkStart w:id="63" w:name="EBf7d2a4f44ecb4166a93ea852e73be69f"/>
            <w:r>
              <w:rPr>
                <w:rFonts w:hint="eastAsia" w:ascii="宋体" w:hAnsi="宋体" w:eastAsia="宋体" w:cs="宋体"/>
                <w:color w:val="auto"/>
                <w:sz w:val="24"/>
                <w:szCs w:val="24"/>
                <w:highlight w:val="none"/>
              </w:rPr>
              <w:t xml:space="preserve">采购；3.</w:t>
            </w:r>
            <w:bookmarkEnd w:id="63"/>
            <w:r>
              <w:rPr>
                <w:rFonts w:hint="eastAsia" w:ascii="宋体" w:hAnsi="宋体" w:eastAsia="宋体" w:cs="宋体"/>
                <w:color w:val="auto"/>
                <w:sz w:val="24"/>
                <w:szCs w:val="24"/>
                <w:highlight w:val="none"/>
              </w:rPr>
              <w:t xml:space="preserve">工程采购。</w:t>
            </w:r>
            <w:r/>
          </w:p>
        </w:tc>
      </w:tr>
      <w:tr>
        <w:trPr/>
        <w:tc>
          <w:tcPr>
            <w:tcW w:w="1101" w:type="dxa"/>
            <w:vAlign w:val="center"/>
            <w:textDirection w:val="lrTb"/>
            <w:noWrap w:val="false"/>
          </w:tcPr>
          <w:p>
            <w:pPr>
              <w:jc w:val="center"/>
              <w:spacing w:line="360" w:lineRule="exact"/>
              <w:shd w:val="clear" w:color="auto" w:fill="ffffff" w:themeFill="background1"/>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p>
        </w:tc>
        <w:tc>
          <w:tcPr>
            <w:tcW w:w="1984" w:type="dxa"/>
            <w:vAlign w:val="center"/>
            <w:textDirection w:val="lrTb"/>
            <w:noWrap w:val="false"/>
          </w:tcPr>
          <w:p>
            <w:pPr>
              <w:jc w:val="center"/>
              <w:spacing w:line="36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响应有效期</w:t>
            </w:r>
            <w:r/>
          </w:p>
        </w:tc>
        <w:tc>
          <w:tcPr>
            <w:tcW w:w="5975" w:type="dxa"/>
            <w:vAlign w:val="center"/>
            <w:textDirection w:val="lrTb"/>
            <w:noWrap w:val="false"/>
          </w:tcPr>
          <w:p>
            <w:pPr>
              <w:jc w:val="left"/>
              <w:spacing w:line="360" w:lineRule="exact"/>
              <w:shd w:val="clear" w:color="auto" w:fill="ffffff" w:themeFill="background1"/>
              <w:rPr>
                <w:rFonts w:hint="eastAsia" w:ascii="宋体" w:hAnsi="宋体" w:eastAsia="宋体" w:cs="宋体"/>
                <w:color w:val="auto"/>
                <w:sz w:val="24"/>
                <w:szCs w:val="24"/>
                <w:highlight w:val="none"/>
              </w:rPr>
            </w:pPr>
            <w:r/>
            <w:bookmarkStart w:id="64" w:name="EBf2540e281f614ac8b4efc83b6e64d4d2"/>
            <w:r>
              <w:rPr>
                <w:rFonts w:hint="eastAsia" w:ascii="宋体" w:hAnsi="宋体" w:eastAsia="宋体" w:cs="宋体"/>
                <w:color w:val="auto"/>
                <w:sz w:val="24"/>
                <w:szCs w:val="24"/>
                <w:highlight w:val="none"/>
              </w:rPr>
              <w:t xml:space="preserve">60</w:t>
            </w:r>
            <w:bookmarkEnd w:id="64"/>
            <w:r>
              <w:rPr>
                <w:rFonts w:hint="eastAsia" w:ascii="宋体" w:hAnsi="宋体" w:eastAsia="宋体" w:cs="宋体"/>
                <w:color w:val="auto"/>
                <w:sz w:val="24"/>
                <w:szCs w:val="24"/>
                <w:highlight w:val="none"/>
              </w:rPr>
              <w:t xml:space="preserve">日（从提交响应文件截止之日起算）</w:t>
            </w:r>
            <w:r/>
          </w:p>
        </w:tc>
      </w:tr>
      <w:tr>
        <w:trPr/>
        <w:tc>
          <w:tcPr>
            <w:tcW w:w="1101" w:type="dxa"/>
            <w:vAlign w:val="center"/>
            <w:textDirection w:val="lrTb"/>
            <w:noWrap w:val="false"/>
          </w:tcPr>
          <w:p>
            <w:pPr>
              <w:jc w:val="center"/>
              <w:spacing w:line="360" w:lineRule="exact"/>
              <w:shd w:val="clear" w:color="auto" w:fill="ffffff" w:themeFill="background1"/>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p>
        </w:tc>
        <w:tc>
          <w:tcPr>
            <w:tcW w:w="1984" w:type="dxa"/>
            <w:vAlign w:val="center"/>
            <w:textDirection w:val="lrTb"/>
            <w:noWrap w:val="false"/>
          </w:tcPr>
          <w:p>
            <w:pPr>
              <w:jc w:val="center"/>
              <w:spacing w:line="36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响应文件份数</w:t>
            </w:r>
            <w:r/>
          </w:p>
        </w:tc>
        <w:tc>
          <w:tcPr>
            <w:tcW w:w="5975" w:type="dxa"/>
            <w:vAlign w:val="center"/>
            <w:textDirection w:val="lrTb"/>
            <w:noWrap w:val="false"/>
          </w:tcPr>
          <w:p>
            <w:pPr>
              <w:jc w:val="left"/>
              <w:spacing w:line="360" w:lineRule="exact"/>
              <w:shd w:val="clear" w:color="auto" w:fill="ffffff" w:themeFill="background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提交加密电子响应文件1份。</w:t>
            </w:r>
            <w:r/>
          </w:p>
        </w:tc>
      </w:tr>
      <w:tr>
        <w:trPr/>
        <w:tc>
          <w:tcPr>
            <w:tcW w:w="1101" w:type="dxa"/>
            <w:vAlign w:val="center"/>
            <w:textDirection w:val="lrTb"/>
            <w:noWrap w:val="false"/>
          </w:tcPr>
          <w:p>
            <w:pPr>
              <w:jc w:val="center"/>
              <w:spacing w:line="360" w:lineRule="exact"/>
              <w:shd w:val="clear" w:color="auto" w:fill="ffffff" w:themeFill="background1"/>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p>
        </w:tc>
        <w:tc>
          <w:tcPr>
            <w:tcW w:w="1984" w:type="dxa"/>
            <w:vAlign w:val="center"/>
            <w:textDirection w:val="lrTb"/>
            <w:noWrap w:val="false"/>
          </w:tcPr>
          <w:p>
            <w:pPr>
              <w:jc w:val="center"/>
              <w:spacing w:line="36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c>
          <w:tcPr>
            <w:tcW w:w="5975" w:type="dxa"/>
            <w:vAlign w:val="center"/>
            <w:textDirection w:val="lrTb"/>
            <w:noWrap w:val="false"/>
          </w:tcPr>
          <w:p>
            <w:pPr>
              <w:jc w:val="left"/>
              <w:spacing w:line="360" w:lineRule="exact"/>
              <w:shd w:val="clear" w:color="auto" w:fill="ffffff" w:themeFill="background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b/>
                <w:bCs/>
                <w:color w:val="auto"/>
                <w:sz w:val="24"/>
                <w:highlight w:val="none"/>
                <w:u w:val="single"/>
              </w:rPr>
              <w:t xml:space="preserve">2</w:t>
            </w:r>
            <w:r>
              <w:rPr>
                <w:rFonts w:hint="eastAsia" w:ascii="宋体" w:hAnsi="宋体" w:eastAsia="宋体" w:cs="宋体"/>
                <w:color w:val="auto"/>
                <w:sz w:val="24"/>
                <w:szCs w:val="24"/>
                <w:highlight w:val="none"/>
              </w:rPr>
              <w:t xml:space="preserve">种方式确定：</w:t>
            </w:r>
            <w:r/>
          </w:p>
          <w:p>
            <w:pPr>
              <w:jc w:val="left"/>
              <w:spacing w:line="360" w:lineRule="exact"/>
              <w:shd w:val="clear" w:color="auto" w:fill="ffffff" w:themeFill="background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1.接受进口产品。</w:t>
            </w:r>
            <w:bookmarkStart w:id="65" w:name="OLE_LINK8"/>
            <w:r>
              <w:rPr>
                <w:rFonts w:hint="eastAsia" w:ascii="宋体" w:hAnsi="宋体" w:eastAsia="宋体" w:cs="宋体"/>
                <w:color w:val="auto"/>
                <w:sz w:val="24"/>
                <w:highlight w:val="none"/>
              </w:rPr>
              <w:t xml:space="preserve">应当符合《政</w:t>
            </w:r>
            <w:bookmarkStart w:id="66" w:name="OLE_LINK1"/>
            <w:r>
              <w:rPr>
                <w:rFonts w:hint="eastAsia" w:ascii="宋体" w:hAnsi="宋体" w:eastAsia="宋体" w:cs="宋体"/>
                <w:color w:val="auto"/>
                <w:sz w:val="24"/>
                <w:highlight w:val="none"/>
              </w:rPr>
              <w:t xml:space="preserve">府采购进口产品管理办法</w:t>
            </w:r>
            <w:bookmarkEnd w:id="66"/>
            <w:r>
              <w:rPr>
                <w:rFonts w:hint="eastAsia" w:ascii="宋体" w:hAnsi="宋体" w:eastAsia="宋体" w:cs="宋体"/>
                <w:color w:val="auto"/>
                <w:sz w:val="24"/>
                <w:highlight w:val="none"/>
              </w:rPr>
              <w:t xml:space="preserve">》（财库〔2007〕119号）《关于政府采购进口产品管理有关问题的通知》（财办库〔2008〕248号）等相关规定</w:t>
            </w:r>
            <w:r>
              <w:rPr>
                <w:rFonts w:hint="eastAsia" w:ascii="宋体" w:hAnsi="宋体" w:eastAsia="宋体" w:cs="宋体"/>
                <w:color w:val="auto"/>
                <w:sz w:val="24"/>
                <w:szCs w:val="24"/>
                <w:highlight w:val="none"/>
              </w:rPr>
              <w:t xml:space="preserve">；</w:t>
            </w:r>
            <w:bookmarkEnd w:id="65"/>
            <w:r/>
            <w:r/>
          </w:p>
          <w:p>
            <w:pPr>
              <w:jc w:val="left"/>
              <w:spacing w:line="360" w:lineRule="exact"/>
              <w:shd w:val="clear" w:color="auto" w:fill="ffffff" w:themeFill="background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不接受进口产品。</w:t>
            </w:r>
            <w:r/>
          </w:p>
        </w:tc>
      </w:tr>
      <w:tr>
        <w:trPr/>
        <w:tc>
          <w:tcPr>
            <w:tcW w:w="1101" w:type="dxa"/>
            <w:vAlign w:val="center"/>
            <w:textDirection w:val="lrTb"/>
            <w:noWrap w:val="false"/>
          </w:tcPr>
          <w:p>
            <w:pPr>
              <w:jc w:val="center"/>
              <w:spacing w:line="360" w:lineRule="exact"/>
              <w:shd w:val="clear" w:color="auto" w:fill="ffffff" w:themeFill="background1"/>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W w:w="1984" w:type="dxa"/>
            <w:vAlign w:val="center"/>
            <w:textDirection w:val="lrTb"/>
            <w:noWrap w:val="false"/>
          </w:tcPr>
          <w:p>
            <w:pPr>
              <w:jc w:val="center"/>
              <w:spacing w:line="36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评审方法</w:t>
            </w:r>
            <w:r/>
          </w:p>
        </w:tc>
        <w:tc>
          <w:tcPr>
            <w:tcW w:w="5975" w:type="dxa"/>
            <w:vAlign w:val="center"/>
            <w:textDirection w:val="lrTb"/>
            <w:noWrap w:val="false"/>
          </w:tcPr>
          <w:p>
            <w:pPr>
              <w:pStyle w:val="1097"/>
              <w:spacing w:line="3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shd w:val="clear" w:color="auto" w:fill="ffffff" w:themeFill="background1"/>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p>
        </w:tc>
        <w:tc>
          <w:tcPr>
            <w:tcW w:w="1984" w:type="dxa"/>
            <w:vAlign w:val="center"/>
            <w:textDirection w:val="lrTb"/>
            <w:noWrap w:val="false"/>
          </w:tcPr>
          <w:p>
            <w:pPr>
              <w:jc w:val="center"/>
              <w:spacing w:line="36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确定成交人</w:t>
            </w:r>
            <w:r/>
          </w:p>
        </w:tc>
        <w:tc>
          <w:tcPr>
            <w:tcW w:w="5975" w:type="dxa"/>
            <w:vAlign w:val="center"/>
            <w:textDirection w:val="lrTb"/>
            <w:noWrap w:val="false"/>
          </w:tcPr>
          <w:p>
            <w:pPr>
              <w:jc w:val="left"/>
              <w:spacing w:line="360" w:lineRule="exact"/>
              <w:shd w:val="clear" w:color="auto" w:fill="ffffff" w:themeFill="background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b/>
                <w:bCs/>
                <w:color w:val="auto"/>
                <w:sz w:val="24"/>
                <w:highlight w:val="none"/>
                <w:u w:val="single"/>
              </w:rPr>
              <w:t xml:space="preserve"> 1 </w:t>
            </w:r>
            <w:r>
              <w:rPr>
                <w:rFonts w:hint="eastAsia" w:ascii="宋体" w:hAnsi="宋体" w:eastAsia="宋体" w:cs="宋体"/>
                <w:color w:val="auto"/>
                <w:sz w:val="24"/>
                <w:szCs w:val="24"/>
                <w:highlight w:val="none"/>
              </w:rPr>
              <w:t xml:space="preserve">种方式确定成交人：</w:t>
            </w:r>
            <w:r/>
          </w:p>
          <w:p>
            <w:pPr>
              <w:jc w:val="left"/>
              <w:spacing w:line="360" w:lineRule="exact"/>
              <w:shd w:val="clear" w:color="auto" w:fill="ffffff" w:themeFill="background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1.采购人按照规定在磋商小组推荐的</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候选人中确定成交人；2.采购人授权磋商小组直接确定成交人；</w:t>
            </w:r>
            <w:r/>
          </w:p>
        </w:tc>
      </w:tr>
      <w:tr>
        <w:trPr/>
        <w:tc>
          <w:tcPr>
            <w:tcW w:w="1101" w:type="dxa"/>
            <w:vAlign w:val="center"/>
            <w:textDirection w:val="lrTb"/>
            <w:noWrap w:val="false"/>
          </w:tcPr>
          <w:p>
            <w:pPr>
              <w:jc w:val="center"/>
              <w:spacing w:line="360" w:lineRule="exact"/>
              <w:shd w:val="clear" w:color="auto" w:fill="ffffff" w:themeFill="background1"/>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p>
        </w:tc>
        <w:tc>
          <w:tcPr>
            <w:tcW w:w="1984" w:type="dxa"/>
            <w:vAlign w:val="center"/>
            <w:textDirection w:val="lrTb"/>
            <w:noWrap w:val="false"/>
          </w:tcPr>
          <w:p>
            <w:pPr>
              <w:jc w:val="center"/>
              <w:spacing w:line="36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w:t>
            </w:r>
            <w:r/>
          </w:p>
        </w:tc>
        <w:tc>
          <w:tcPr>
            <w:tcW w:w="5975" w:type="dxa"/>
            <w:vAlign w:val="center"/>
            <w:textDirection w:val="lrTb"/>
            <w:noWrap w:val="false"/>
          </w:tcPr>
          <w:p>
            <w:pPr>
              <w:jc w:val="left"/>
              <w:spacing w:line="360" w:lineRule="exact"/>
              <w:shd w:val="clear" w:color="auto" w:fill="ffffff" w:themeFill="background1"/>
              <w:widowControl/>
              <w:rPr>
                <w:rFonts w:hint="eastAsia" w:ascii="宋体" w:hAnsi="宋体" w:eastAsia="宋体" w:cs="宋体"/>
                <w:color w:val="auto"/>
                <w:sz w:val="24"/>
                <w:szCs w:val="24"/>
                <w:highlight w:val="none"/>
              </w:rPr>
            </w:pPr>
            <w:r/>
            <w:bookmarkStart w:id="67" w:name="EBebac1462c5d9459fbda8a75065c2455d"/>
            <w:r>
              <w:rPr>
                <w:rFonts w:hint="eastAsia" w:ascii="宋体" w:hAnsi="宋体" w:eastAsia="宋体" w:cs="宋体"/>
                <w:color w:val="auto"/>
                <w:sz w:val="24"/>
                <w:szCs w:val="24"/>
                <w:highlight w:val="none"/>
              </w:rPr>
              <w:t xml:space="preserve">本项目的非主体、非关键性工作是否允许分包按以下第</w:t>
            </w:r>
            <w:r>
              <w:rPr>
                <w:rFonts w:hint="eastAsia" w:ascii="宋体" w:hAnsi="宋体" w:eastAsia="宋体" w:cs="宋体"/>
                <w:b/>
                <w:bCs/>
                <w:color w:val="auto"/>
                <w:sz w:val="24"/>
                <w:highlight w:val="none"/>
                <w:u w:val="single"/>
              </w:rPr>
              <w:t xml:space="preserve">2</w:t>
            </w:r>
            <w:r>
              <w:rPr>
                <w:rFonts w:hint="eastAsia" w:ascii="宋体" w:hAnsi="宋体" w:eastAsia="宋体" w:cs="宋体"/>
                <w:color w:val="auto"/>
                <w:sz w:val="24"/>
                <w:szCs w:val="24"/>
                <w:highlight w:val="none"/>
              </w:rPr>
              <w:t xml:space="preserve">种方式确定：</w:t>
            </w:r>
            <w:r/>
          </w:p>
          <w:p>
            <w:pPr>
              <w:jc w:val="left"/>
              <w:spacing w:line="360" w:lineRule="exact"/>
              <w:shd w:val="clear" w:color="auto" w:fill="ffffff" w:themeFill="background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67"/>
            <w:r>
              <w:rPr>
                <w:rFonts w:hint="eastAsia" w:ascii="宋体" w:hAnsi="宋体" w:eastAsia="宋体" w:cs="宋体"/>
                <w:color w:val="auto"/>
                <w:sz w:val="24"/>
                <w:szCs w:val="24"/>
                <w:highlight w:val="none"/>
              </w:rPr>
              <w:t xml:space="preserve">允许分包，</w:t>
            </w:r>
            <w:bookmarkStart w:id="68" w:name="EB512ba06683724173802e2aae54a26079"/>
            <w:r>
              <w:rPr>
                <w:rFonts w:hint="eastAsia" w:ascii="宋体" w:hAnsi="宋体" w:eastAsia="宋体" w:cs="宋体"/>
                <w:color w:val="auto"/>
                <w:sz w:val="24"/>
                <w:szCs w:val="24"/>
                <w:highlight w:val="none"/>
              </w:rPr>
              <w:t xml:space="preserve">允许大中型企业向一家或者多家小微企业分包，分包具体内容、金额或比例：</w:t>
            </w:r>
            <w:bookmarkEnd w:id="68"/>
            <w:r>
              <w:rPr>
                <w:rFonts w:hint="eastAsia" w:ascii="宋体" w:hAnsi="宋体" w:eastAsia="宋体" w:cs="宋体"/>
                <w:color w:val="auto"/>
                <w:sz w:val="24"/>
                <w:szCs w:val="24"/>
                <w:highlight w:val="none"/>
              </w:rPr>
              <w:t xml:space="preserve">无</w:t>
            </w:r>
            <w:r/>
          </w:p>
          <w:p>
            <w:pPr>
              <w:jc w:val="left"/>
              <w:spacing w:line="360" w:lineRule="exact"/>
              <w:shd w:val="clear" w:color="auto" w:fill="ffffff" w:themeFill="background1"/>
              <w:widowControl/>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2.不允许分包。</w:t>
            </w:r>
            <w:r/>
          </w:p>
        </w:tc>
      </w:tr>
      <w:tr>
        <w:trPr>
          <w:trHeight w:val="604"/>
        </w:trPr>
        <w:tc>
          <w:tcPr>
            <w:tcW w:w="1101" w:type="dxa"/>
            <w:vAlign w:val="center"/>
            <w:textDirection w:val="lrTb"/>
            <w:noWrap w:val="false"/>
          </w:tcPr>
          <w:p>
            <w:pPr>
              <w:jc w:val="center"/>
              <w:spacing w:line="36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984" w:type="dxa"/>
            <w:vAlign w:val="center"/>
            <w:textDirection w:val="lrTb"/>
            <w:noWrap w:val="false"/>
          </w:tcPr>
          <w:p>
            <w:pPr>
              <w:jc w:val="center"/>
              <w:spacing w:line="36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shd w:val="clear" w:color="auto" w:fill="auto"/>
            <w:tcW w:w="5975" w:type="dxa"/>
            <w:vAlign w:val="center"/>
            <w:textDirection w:val="lrTb"/>
            <w:noWrap w:val="false"/>
          </w:tcPr>
          <w:p>
            <w:pPr>
              <w:jc w:val="left"/>
              <w:spacing w:line="400" w:lineRule="exact"/>
              <w:shd w:val="clear" w:color="auto" w:fill="ffffff" w:themeFill="background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信用信息查询截止时间：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p>
        </w:tc>
      </w:tr>
    </w:tbl>
    <w:p>
      <w:pPr>
        <w:shd w:val="clear" w:color="auto" w:fill="ffffff" w:themeFill="background1"/>
        <w:rPr>
          <w:rFonts w:hint="eastAsia" w:ascii="宋体" w:hAnsi="宋体" w:eastAsia="宋体" w:cs="宋体"/>
          <w:color w:val="auto"/>
          <w:highlight w:val="none"/>
        </w:rPr>
      </w:pPr>
      <w:r/>
      <w:bookmarkStart w:id="69" w:name="EBc9d8a0a6c333409599b28034cbc893d2"/>
      <w:r/>
      <w:bookmarkEnd w:id="69"/>
      <w:r/>
      <w:bookmarkStart w:id="70" w:name="_Toc141869962"/>
      <w:r/>
      <w:r/>
    </w:p>
    <w:p>
      <w:pPr>
        <w:shd w:val="clear" w:color="auto" w:fill="ffffff" w:themeFill="background1"/>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fill="ffffff" w:themeFill="background1"/>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7"/>
        <w:ind w:firstLine="321"/>
        <w:spacing w:before="0" w:after="0" w:line="520" w:lineRule="exact"/>
        <w:shd w:val="clear" w:color="auto" w:fill="ffffff" w:themeFill="background1"/>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一、总 则</w:t>
      </w:r>
      <w:bookmarkEnd w:id="70"/>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1、采购方式</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本次采购采取竞争性磋商方式。</w:t>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2、合格的供应商</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2.1合格的供应商必须符合磋商文件第一章《磋商邀请》第二条及供应商须知前附表相关规定，且具备完成本项目的能力，成交后不允许转包。</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2.2满足本文件实质性要求的规定。</w:t>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3、适用法律</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本次磋商及由磋商产生的合同受中华人民共和国的相关法律、法规制约和保护。</w:t>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4、费用</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71" w:name="_Toc141869963"/>
      <w:r>
        <w:rPr>
          <w:rFonts w:hint="eastAsia" w:ascii="宋体" w:hAnsi="宋体" w:eastAsia="宋体" w:cs="宋体"/>
          <w:color w:val="000000" w:themeColor="text1"/>
          <w:sz w:val="24"/>
          <w:highlight w:val="none"/>
          <w14:textFill>
            <w14:solidFill>
              <w14:schemeClr w14:val="tx1"/>
            </w14:solidFill>
          </w14:textFill>
        </w:rPr>
        <w:t xml:space="preserve">4.1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应自行承担所有与参加投标有关的费用，无论投标过程中的做法和结果如何，</w:t>
      </w:r>
      <w:r>
        <w:rPr>
          <w:rFonts w:hint="eastAsia" w:ascii="宋体" w:hAnsi="宋体" w:eastAsia="宋体" w:cs="宋体"/>
          <w:color w:val="000000" w:themeColor="text1"/>
          <w:sz w:val="24"/>
          <w:highlight w:val="none"/>
          <w:u w:val="single"/>
          <w14:textFill>
            <w14:solidFill>
              <w14:schemeClr w14:val="tx1"/>
            </w14:solidFill>
          </w14:textFill>
        </w:rPr>
        <w:t xml:space="preserve">江苏襄盛工程咨询有限公司</w:t>
      </w:r>
      <w:r>
        <w:rPr>
          <w:rFonts w:hint="eastAsia" w:ascii="宋体" w:hAnsi="宋体" w:eastAsia="宋体" w:cs="宋体"/>
          <w:color w:val="000000" w:themeColor="text1"/>
          <w:sz w:val="24"/>
          <w:highlight w:val="none"/>
          <w14:textFill>
            <w14:solidFill>
              <w14:schemeClr w14:val="tx1"/>
            </w14:solidFill>
          </w14:textFill>
        </w:rPr>
        <w:t xml:space="preserve">（以下简称采购代理机构）在任何情况下均无义务和责任承担这些费用。</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4.2代理费用收取方式及标准：按以下第</w:t>
      </w:r>
      <w:r>
        <w:rPr>
          <w:rFonts w:hint="eastAsia" w:ascii="宋体" w:hAnsi="宋体" w:eastAsia="宋体" w:cs="宋体"/>
          <w:color w:val="000000" w:themeColor="text1"/>
          <w:sz w:val="24"/>
          <w:highlight w:val="none"/>
          <w:u w:val="single"/>
          <w14:textFill>
            <w14:solidFill>
              <w14:schemeClr w14:val="tx1"/>
            </w14:solidFill>
          </w14:textFill>
        </w:rPr>
        <w:t xml:space="preserve"> 4.2.2 </w:t>
      </w:r>
      <w:r>
        <w:rPr>
          <w:rFonts w:hint="eastAsia" w:ascii="宋体" w:hAnsi="宋体" w:eastAsia="宋体" w:cs="宋体"/>
          <w:color w:val="000000" w:themeColor="text1"/>
          <w:sz w:val="24"/>
          <w:highlight w:val="none"/>
          <w14:textFill>
            <w14:solidFill>
              <w14:schemeClr w14:val="tx1"/>
            </w14:solidFill>
          </w14:textFill>
        </w:rPr>
        <w:t xml:space="preserve">种方式执行</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4.2.1无需支付；</w:t>
      </w:r>
      <w:r/>
    </w:p>
    <w:p>
      <w:pPr>
        <w:pStyle w:val="1504"/>
        <w:ind w:left="0" w:firstLine="480"/>
        <w:pageBreakBefore w:val="0"/>
        <w:spacing w:line="560" w:lineRule="exact"/>
        <w:shd w:val="clear" w:color="auto"/>
        <w:widowControl w:val="off"/>
        <w:rPr>
          <w:rFonts w:hint="eastAsia" w:ascii="宋体" w:hAnsi="宋体" w:eastAsia="宋体" w:cs="宋体"/>
          <w:color w:val="000000" w:themeColor="text1"/>
          <w:sz w:val="24"/>
          <w:szCs w:val="21"/>
          <w:highlight w:val="none"/>
          <w:u w:val="single"/>
          <w:lang w:val="en-US" w:eastAsia="zh-CN" w:bidi="ar-SA"/>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4.2.2</w:t>
      </w:r>
      <w:r>
        <w:rPr>
          <w:rFonts w:hint="eastAsia" w:ascii="宋体" w:hAnsi="宋体" w:eastAsia="宋体" w:cs="宋体"/>
          <w:color w:val="000000" w:themeColor="text1"/>
          <w:sz w:val="24"/>
          <w:szCs w:val="21"/>
          <w:highlight w:val="none"/>
          <w:lang w:val="zh-CN" w:eastAsia="zh-CN" w:bidi="ar-SA"/>
          <w14:textFill>
            <w14:solidFill>
              <w14:schemeClr w14:val="tx1"/>
            </w14:solidFill>
          </w14:textFill>
        </w:rPr>
        <w:t xml:space="preserve">具体方式及标准为：</w:t>
      </w:r>
      <w:r>
        <w:rPr>
          <w:rFonts w:hint="eastAsia" w:ascii="宋体" w:hAnsi="宋体" w:eastAsia="宋体" w:cs="宋体"/>
          <w:color w:val="000000" w:themeColor="text1"/>
          <w:sz w:val="24"/>
          <w:szCs w:val="21"/>
          <w:highlight w:val="none"/>
          <w:u w:val="single"/>
          <w:lang w:val="en-US" w:eastAsia="zh-CN" w:bidi="ar-SA"/>
          <w14:textFill>
            <w14:solidFill>
              <w14:schemeClr w14:val="tx1"/>
            </w14:solidFill>
          </w14:textFill>
        </w:rPr>
        <w:t xml:space="preserve">按照苏政采协[2024]20号文标准计取，可以数字人民币方式支付。</w:t>
      </w:r>
      <w:r/>
    </w:p>
    <w:p>
      <w:pPr>
        <w:pStyle w:val="777"/>
        <w:ind w:firstLine="321"/>
        <w:spacing w:before="0" w:after="0" w:line="520" w:lineRule="exact"/>
        <w:shd w:val="clear" w:color="auto" w:fill="ffffff" w:themeFill="background1"/>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二、竞争性磋商文件</w:t>
      </w:r>
      <w:bookmarkEnd w:id="71"/>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5、磋商文件构成</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5.1磋商文件由以下部分组成：</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第一章：磋商邀请；</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第二章：供应商须知；</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第三章：评审方法与评审标准；</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第四章：采购需求；</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第五章：合同文本；</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第六章：响应文件格式。</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请仔细检查磋商文件是否齐全，如有缺漏请立即与代理机构联系解决。</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6、政府采购政策</w:t>
      </w:r>
      <w:r/>
    </w:p>
    <w:p>
      <w:pPr>
        <w:ind w:firstLine="482"/>
        <w:spacing w:line="480" w:lineRule="exact"/>
        <w:shd w:val="clear" w:color="auto" w:fill="ffffff" w:themeFill="background1"/>
        <w:rPr>
          <w:rFonts w:hint="eastAsia" w:ascii="宋体" w:hAnsi="宋体" w:eastAsia="宋体" w:cs="宋体"/>
          <w:b/>
          <w:color w:val="auto"/>
          <w:sz w:val="24"/>
          <w:highlight w:val="none"/>
          <w:u w:val="single"/>
        </w:rPr>
      </w:pPr>
      <w:r>
        <w:rPr>
          <w:rFonts w:hint="eastAsia" w:ascii="宋体" w:hAnsi="宋体" w:eastAsia="宋体" w:cs="宋体"/>
          <w:b/>
          <w:bCs/>
          <w:color w:val="auto"/>
          <w:sz w:val="24"/>
          <w:highlight w:val="none"/>
        </w:rPr>
        <w:t xml:space="preserve">本项目落实的政府采购政策对应序号为</w:t>
      </w:r>
      <w:r>
        <w:rPr>
          <w:rFonts w:hint="eastAsia" w:ascii="宋体" w:hAnsi="宋体" w:eastAsia="宋体" w:cs="宋体"/>
          <w:b/>
          <w:bCs/>
          <w:color w:val="auto"/>
          <w:sz w:val="24"/>
          <w:highlight w:val="none"/>
          <w:u w:val="single"/>
          <w:lang w:val="en-US" w:eastAsia="zh-CN"/>
        </w:rPr>
        <w:t xml:space="preserve">    6.1</w:t>
      </w:r>
      <w:r>
        <w:rPr>
          <w:rFonts w:hint="eastAsia" w:ascii="宋体" w:hAnsi="宋体" w:eastAsia="宋体" w:cs="宋体"/>
          <w:b/>
          <w:bCs/>
          <w:color w:val="auto"/>
          <w:sz w:val="24"/>
          <w:highlight w:val="none"/>
          <w:u w:val="single"/>
        </w:rPr>
        <w:t xml:space="preserve">    </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6.1中小企业政策</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本项目按以下第</w:t>
      </w:r>
      <w:r>
        <w:rPr>
          <w:rFonts w:hint="eastAsia" w:ascii="宋体" w:hAnsi="宋体" w:eastAsia="宋体" w:cs="宋体"/>
          <w:b/>
          <w:bCs/>
          <w:color w:val="auto"/>
          <w:sz w:val="24"/>
          <w:highlight w:val="none"/>
          <w:u w:val="single"/>
        </w:rPr>
        <w:t xml:space="preserve">（</w:t>
      </w:r>
      <w:r>
        <w:rPr>
          <w:rFonts w:hint="eastAsia" w:ascii="宋体" w:hAnsi="宋体" w:cs="宋体"/>
          <w:b/>
          <w:bCs/>
          <w:color w:val="auto"/>
          <w:sz w:val="24"/>
          <w:highlight w:val="none"/>
          <w:u w:val="single"/>
          <w:lang w:val="en-US" w:eastAsia="zh-CN"/>
        </w:rPr>
        <w:t xml:space="preserve">2</w:t>
      </w:r>
      <w:r>
        <w:rPr>
          <w:rFonts w:hint="eastAsia" w:ascii="宋体" w:hAnsi="宋体" w:eastAsia="宋体" w:cs="宋体"/>
          <w:b/>
          <w:bCs/>
          <w:color w:val="auto"/>
          <w:sz w:val="24"/>
          <w:highlight w:val="none"/>
          <w:u w:val="single"/>
        </w:rPr>
        <w:t xml:space="preserve">）</w:t>
      </w:r>
      <w:r>
        <w:rPr>
          <w:rFonts w:hint="eastAsia" w:ascii="宋体" w:hAnsi="宋体" w:eastAsia="宋体" w:cs="宋体"/>
          <w:color w:val="auto"/>
          <w:sz w:val="24"/>
          <w:highlight w:val="none"/>
        </w:rPr>
        <w:t xml:space="preserve">种政策确定本项目落实的中小企业政策：</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（1）本项目专门面向中小企业（含监狱与戒毒企业、残疾人福利企业）采购。</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（2）对符合规定情形的小微企业报价给予</w:t>
      </w:r>
      <w:r>
        <w:rPr>
          <w:rFonts w:hint="eastAsia" w:ascii="宋体" w:hAnsi="宋体" w:eastAsia="宋体" w:cs="宋体"/>
          <w:color w:val="auto"/>
          <w:sz w:val="24"/>
          <w:highlight w:val="none"/>
          <w:u w:val="single"/>
        </w:rPr>
        <w:t xml:space="preserve">1</w:t>
      </w:r>
      <w:r>
        <w:rPr>
          <w:rFonts w:hint="eastAsia" w:ascii="宋体" w:hAnsi="宋体" w:cs="宋体"/>
          <w:color w:val="auto"/>
          <w:sz w:val="24"/>
          <w:highlight w:val="none"/>
          <w:u w:val="single"/>
          <w:lang w:val="en-US" w:eastAsia="zh-CN"/>
        </w:rPr>
        <w:t xml:space="preserve">0</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扣除，用扣除后的价格参加评审。</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磋商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磋商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auto"/>
          <w:sz w:val="24"/>
          <w:highlight w:val="none"/>
          <w:u w:val="single"/>
        </w:rPr>
        <w:t xml:space="preserve">5</w:t>
      </w:r>
      <w:r>
        <w:rPr>
          <w:rFonts w:hint="eastAsia" w:ascii="宋体" w:hAnsi="宋体" w:eastAsia="宋体" w:cs="宋体"/>
          <w:color w:val="auto"/>
          <w:sz w:val="24"/>
          <w:highlight w:val="none"/>
        </w:rPr>
        <w:t xml:space="preserve">%（工程项目为</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⑤联合体各方均为小型、微型企业（残疾人福利单位、监狱企业）的，联合体享受1</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%价格扣除，用扣除后的价格参与评审。</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6.2节能产品、环境标志产品</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6.2.2拟采购的产品属于优先采购的节能环保品目清单范围的，对提供有效节能产品或环境标志产品认证证书的供应商加分。</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6.3政府采购需求标准</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6.3.1商品包装、快递包装政府采购需求标准（试行）</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6.3.2绿色数据中心政府采购需求标准（试行）</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生态环境部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工业和信息化部关于印发《绿色数据中心政府采购需求标准（试行）》的通知）要求执行，本项目绿色数据中心的具体需求详见第四章采购需求。</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6.3.3绿色建材政府采购需求标准</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住房和城乡建设部、工业和信息化部关于印发《关于扩大政府采购支持绿色建材促进建筑品质提升政策实施范围的通知》要求执行，本项目绿色建材的具体需求详见第四章采购需求。</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7、磋商文件的澄清或修改</w:t>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7.2磋商文件的澄清或者修改将在原公告媒体上发布更正公告，澄清、修改文件均作为磋商文件的组成部分，并对供应商具有约束力。</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7.3供应商应及时登录“苏采云”系统获取澄清答疑文件（修改后磋商文件），如供应商未能及时下载澄清和修改后的磋商文件，造成的相关责任由供应商承担。</w:t>
      </w:r>
      <w:r/>
    </w:p>
    <w:p>
      <w:pPr>
        <w:pStyle w:val="777"/>
        <w:ind w:firstLine="321"/>
        <w:spacing w:before="0" w:after="0" w:line="520" w:lineRule="exact"/>
        <w:shd w:val="clear" w:color="auto" w:fill="ffffff" w:themeFill="background1"/>
        <w:rPr>
          <w:rFonts w:hint="eastAsia" w:ascii="宋体" w:hAnsi="宋体" w:eastAsia="宋体" w:cs="宋体"/>
          <w:b/>
          <w:bCs/>
          <w:color w:val="auto"/>
          <w:sz w:val="32"/>
          <w:highlight w:val="none"/>
        </w:rPr>
      </w:pPr>
      <w:r/>
      <w:bookmarkStart w:id="72" w:name="_Toc141869964"/>
      <w:r>
        <w:rPr>
          <w:rFonts w:hint="eastAsia" w:ascii="宋体" w:hAnsi="宋体" w:eastAsia="宋体" w:cs="宋体"/>
          <w:b/>
          <w:bCs/>
          <w:color w:val="auto"/>
          <w:sz w:val="32"/>
          <w:highlight w:val="none"/>
        </w:rPr>
        <w:t xml:space="preserve">三、响应文件的编制</w:t>
      </w:r>
      <w:bookmarkEnd w:id="72"/>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8、响应文件的编制要求</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9、响应文件构成</w:t>
      </w:r>
      <w:r/>
    </w:p>
    <w:p>
      <w:pPr>
        <w:ind w:firstLine="482"/>
        <w:spacing w:line="480" w:lineRule="exact"/>
        <w:shd w:val="clear" w:color="auto" w:fill="ffffff" w:themeFill="background1"/>
        <w:rPr>
          <w:rFonts w:hint="eastAsia" w:ascii="宋体" w:hAnsi="宋体" w:eastAsia="宋体" w:cs="宋体"/>
          <w:b/>
          <w:color w:val="auto"/>
          <w:sz w:val="24"/>
          <w:highlight w:val="none"/>
        </w:rPr>
      </w:pPr>
      <w:r/>
      <w:bookmarkStart w:id="73" w:name="EBd2e6df6607b447c7a4370e6531238d19"/>
      <w:r>
        <w:rPr>
          <w:rFonts w:hint="eastAsia" w:ascii="宋体" w:hAnsi="宋体" w:eastAsia="宋体" w:cs="宋体"/>
          <w:color w:val="auto"/>
          <w:sz w:val="24"/>
          <w:szCs w:val="21"/>
          <w:highlight w:val="none"/>
        </w:rPr>
        <w:t xml:space="preserve">9.1响应文件包括资格证明文件、</w:t>
      </w:r>
      <w:r>
        <w:rPr>
          <w:rFonts w:hint="eastAsia" w:ascii="宋体" w:hAnsi="宋体" w:eastAsia="宋体" w:cs="宋体"/>
          <w:color w:val="auto"/>
          <w:sz w:val="24"/>
          <w:szCs w:val="24"/>
          <w:highlight w:val="none"/>
        </w:rPr>
        <w:t xml:space="preserve">实质性要求响应</w:t>
      </w:r>
      <w:r>
        <w:rPr>
          <w:rFonts w:hint="eastAsia" w:ascii="宋体" w:hAnsi="宋体" w:eastAsia="宋体" w:cs="宋体"/>
          <w:color w:val="auto"/>
          <w:sz w:val="24"/>
          <w:szCs w:val="21"/>
          <w:highlight w:val="none"/>
        </w:rPr>
        <w:t xml:space="preserve">、分项报价表、磋商申请函、其他证明文件等部分。</w:t>
      </w:r>
      <w:r>
        <w:rPr>
          <w:rFonts w:hint="eastAsia" w:ascii="宋体" w:hAnsi="宋体" w:eastAsia="宋体" w:cs="宋体"/>
          <w:color w:val="auto"/>
          <w:sz w:val="24"/>
          <w:highlight w:val="none"/>
        </w:rPr>
        <w:t xml:space="preserve">响应文件构成资料为非中文时应提供中文译版。</w:t>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9.2磋商文件要求提供证书证件等原件电子件的，供应商提供的电子件应是对证书证件等原件通过扫描、拍照等方式进行数字化的可被</w:t>
      </w:r>
      <w:r>
        <w:rPr>
          <w:rFonts w:hint="eastAsia" w:ascii="宋体" w:hAnsi="宋体" w:eastAsia="宋体" w:cs="宋体"/>
          <w:b/>
          <w:bCs/>
          <w:color w:val="auto"/>
          <w:sz w:val="24"/>
          <w:highlight w:val="none"/>
        </w:rPr>
        <w:t xml:space="preserve">“苏采云”</w:t>
      </w:r>
      <w:r>
        <w:rPr>
          <w:rFonts w:hint="eastAsia" w:ascii="宋体" w:hAnsi="宋体" w:eastAsia="宋体" w:cs="宋体"/>
          <w:b/>
          <w:color w:val="auto"/>
          <w:sz w:val="24"/>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73"/>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10、响应文件的报价</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10.1分次报价，供应商响应文件中的报价作为第一次报价，不公开；以最后报价作为价格分计算。</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10.2报价注意事项：报价一律以人民币计算，以元为单位标注，最多保留至小数点后两位，磋商文件有规定的按磋商文件执行。</w:t>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11、磋商保证金</w:t>
      </w:r>
      <w:r/>
    </w:p>
    <w:p>
      <w:pPr>
        <w:ind w:firstLine="480"/>
        <w:spacing w:line="480" w:lineRule="exact"/>
        <w:shd w:val="clear" w:color="auto" w:fill="ffffff" w:themeFill="background1"/>
        <w:rPr>
          <w:rFonts w:hint="eastAsia" w:ascii="宋体" w:hAnsi="宋体" w:eastAsia="宋体" w:cs="宋体"/>
          <w:color w:val="auto"/>
          <w:sz w:val="24"/>
          <w:highlight w:val="none"/>
        </w:rPr>
      </w:pPr>
      <w:r/>
      <w:bookmarkStart w:id="74" w:name="EB2c6535ca97b046d89f956e109e785ae2"/>
      <w:r>
        <w:rPr>
          <w:rFonts w:hint="eastAsia" w:ascii="宋体" w:hAnsi="宋体" w:eastAsia="宋体" w:cs="宋体"/>
          <w:color w:val="auto"/>
          <w:sz w:val="24"/>
          <w:highlight w:val="none"/>
        </w:rPr>
        <w:t xml:space="preserve">本项目不收取磋商保证金。</w:t>
      </w:r>
      <w:bookmarkEnd w:id="74"/>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12、响应有效期</w:t>
      </w:r>
      <w:r/>
    </w:p>
    <w:p>
      <w:pPr>
        <w:ind w:firstLine="480"/>
        <w:spacing w:line="480" w:lineRule="exact"/>
        <w:shd w:val="clear" w:color="auto" w:fill="ffffff" w:themeFill="background1"/>
        <w:rPr>
          <w:rFonts w:hint="eastAsia" w:ascii="宋体" w:hAnsi="宋体" w:eastAsia="宋体" w:cs="宋体"/>
          <w:color w:val="auto"/>
          <w:sz w:val="24"/>
          <w:highlight w:val="none"/>
        </w:rPr>
      </w:pPr>
      <w:r/>
      <w:bookmarkStart w:id="75" w:name="_Toc141869965"/>
      <w:r>
        <w:rPr>
          <w:rFonts w:hint="eastAsia" w:ascii="宋体" w:hAnsi="宋体" w:eastAsia="宋体" w:cs="宋体"/>
          <w:color w:val="auto"/>
          <w:sz w:val="24"/>
          <w:highlight w:val="non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w:t>
      </w:r>
      <w:r>
        <w:rPr>
          <w:rFonts w:hint="eastAsia" w:ascii="宋体" w:hAnsi="宋体" w:eastAsia="宋体" w:cs="宋体"/>
          <w:bCs/>
          <w:color w:val="auto"/>
          <w:sz w:val="24"/>
          <w:szCs w:val="21"/>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eastAsia="宋体" w:cs="宋体"/>
          <w:color w:val="auto"/>
          <w:sz w:val="24"/>
          <w:szCs w:val="24"/>
          <w:highlight w:val="none"/>
        </w:rPr>
        <w:t xml:space="preserve">受磋商有效期约束的所有权利与义务均延长至新的有效期</w:t>
      </w:r>
      <w:r>
        <w:rPr>
          <w:rFonts w:hint="eastAsia" w:ascii="宋体" w:hAnsi="宋体" w:eastAsia="宋体" w:cs="宋体"/>
          <w:bCs/>
          <w:color w:val="auto"/>
          <w:sz w:val="24"/>
          <w:szCs w:val="21"/>
          <w:highlight w:val="none"/>
        </w:rPr>
        <w:t xml:space="preserve">。</w:t>
      </w:r>
      <w:r/>
    </w:p>
    <w:p>
      <w:pPr>
        <w:pStyle w:val="777"/>
        <w:ind w:firstLine="321"/>
        <w:spacing w:before="0" w:after="0" w:line="520" w:lineRule="exact"/>
        <w:shd w:val="clear" w:color="auto" w:fill="ffffff" w:themeFill="background1"/>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四、响应文件的提交</w:t>
      </w:r>
      <w:bookmarkEnd w:id="75"/>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13、响应文件的提交</w:t>
      </w:r>
      <w:r/>
    </w:p>
    <w:p>
      <w:pPr>
        <w:ind w:firstLine="480"/>
        <w:spacing w:line="480" w:lineRule="exact"/>
        <w:shd w:val="clear" w:color="auto" w:fill="ffffff" w:themeFill="background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13.2响应文件的修改或撤回：在响应截止时间前，供应商可以撤回或重新提交响应文件。响应文件以最终完成上传的为准。</w:t>
      </w:r>
      <w:r/>
    </w:p>
    <w:p>
      <w:pPr>
        <w:ind w:right="105" w:firstLine="480"/>
        <w:spacing w:line="480" w:lineRule="exact"/>
        <w:shd w:val="clear" w:color="auto" w:fill="ffffff" w:themeFill="background1"/>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14、响应文件被拒绝接收的情形</w:t>
      </w:r>
      <w:r/>
    </w:p>
    <w:p>
      <w:pPr>
        <w:ind w:right="105"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在磋商文件规定的响应截止时间后上传的响应文件。</w:t>
      </w:r>
      <w:r/>
    </w:p>
    <w:p>
      <w:pPr>
        <w:pStyle w:val="777"/>
        <w:ind w:firstLine="321"/>
        <w:spacing w:before="0" w:after="0" w:line="520" w:lineRule="exact"/>
        <w:shd w:val="clear" w:color="auto" w:fill="ffffff" w:themeFill="background1"/>
        <w:rPr>
          <w:rFonts w:hint="eastAsia" w:ascii="宋体" w:hAnsi="宋体" w:eastAsia="宋体" w:cs="宋体"/>
          <w:b/>
          <w:bCs/>
          <w:color w:val="auto"/>
          <w:sz w:val="32"/>
          <w:highlight w:val="none"/>
        </w:rPr>
      </w:pPr>
      <w:r/>
      <w:bookmarkStart w:id="76" w:name="_Toc141869967"/>
      <w:r>
        <w:rPr>
          <w:rFonts w:hint="eastAsia" w:ascii="宋体" w:hAnsi="宋体" w:eastAsia="宋体" w:cs="宋体"/>
          <w:b/>
          <w:bCs/>
          <w:color w:val="auto"/>
          <w:sz w:val="32"/>
          <w:highlight w:val="none"/>
        </w:rPr>
        <w:t xml:space="preserve">五、磋商程序及最后报价</w:t>
      </w:r>
      <w:bookmarkEnd w:id="76"/>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15、磋商会议</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15.1采购代理机构按磋商文件规定的时间、地点组织磋商。供应商应当按照《操作手册》规定，在“苏采云”系统规定的时间内对磋商响应文件进行解密。</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15.2供应商用于解密的CA证书应为该响应文件生成加密、上传的同一把CA证书。供应商应登录“苏采云”系统进入“开标大厅”，在系统约定时间内使用CA证书解密，未在</w:t>
      </w:r>
      <w:r>
        <w:rPr>
          <w:rFonts w:hint="eastAsia" w:ascii="宋体" w:hAnsi="宋体" w:cs="宋体"/>
          <w:b/>
          <w:color w:val="auto"/>
          <w:sz w:val="24"/>
          <w:highlight w:val="none"/>
          <w:lang w:val="en-US" w:eastAsia="zh-CN"/>
        </w:rPr>
        <w:t xml:space="preserve">系统约定时间内</w:t>
      </w:r>
      <w:r>
        <w:rPr>
          <w:rFonts w:hint="eastAsia" w:ascii="宋体" w:hAnsi="宋体" w:eastAsia="宋体" w:cs="宋体"/>
          <w:b/>
          <w:color w:val="auto"/>
          <w:sz w:val="24"/>
          <w:highlight w:val="none"/>
        </w:rPr>
        <w:t xml:space="preserve">成功解密的，视为其放弃磋商。</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15.3供应商在磋商全过程中应保持通讯畅通，及时登录</w:t>
      </w:r>
      <w:r>
        <w:rPr>
          <w:rFonts w:hint="eastAsia" w:ascii="宋体" w:hAnsi="宋体" w:eastAsia="宋体" w:cs="宋体"/>
          <w:b/>
          <w:bCs/>
          <w:color w:val="auto"/>
          <w:sz w:val="24"/>
          <w:highlight w:val="none"/>
        </w:rPr>
        <w:t xml:space="preserve">“苏采云”系统</w:t>
      </w:r>
      <w:r>
        <w:rPr>
          <w:rFonts w:hint="eastAsia" w:ascii="宋体" w:hAnsi="宋体" w:eastAsia="宋体" w:cs="宋体"/>
          <w:color w:val="auto"/>
          <w:sz w:val="24"/>
          <w:highlight w:val="none"/>
        </w:rPr>
        <w:t xml:space="preserve">查阅、答复相关信息。</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16、磋商小组</w:t>
      </w:r>
      <w:bookmarkStart w:id="77" w:name="OLE_LINK3"/>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磋商小组由采购人代表和有关技术、经济等方面的专家组成，且人员构成符合政府采购有关规定。</w:t>
      </w:r>
      <w:bookmarkEnd w:id="77"/>
      <w:r>
        <w:rPr>
          <w:rFonts w:hint="eastAsia" w:ascii="宋体" w:hAnsi="宋体" w:eastAsia="宋体" w:cs="宋体"/>
          <w:color w:val="auto"/>
          <w:sz w:val="24"/>
          <w:highlight w:val="none"/>
        </w:rPr>
        <w:t xml:space="preserve">磋商小组负责具体评审事务，按客观、公正、审慎的原则独立履行相关职责。</w:t>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17、磋商程序</w:t>
      </w:r>
      <w:r/>
    </w:p>
    <w:p>
      <w:pPr>
        <w:ind w:firstLine="480"/>
        <w:spacing w:line="460" w:lineRule="exact"/>
        <w:shd w:val="clear" w:color="auto" w:fill="ffffff" w:themeFill="background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17.1资格审查</w:t>
      </w:r>
      <w:r/>
    </w:p>
    <w:p>
      <w:pPr>
        <w:ind w:firstLine="480"/>
        <w:spacing w:line="460" w:lineRule="exact"/>
        <w:shd w:val="clear" w:color="auto" w:fill="ffffff" w:themeFill="background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由磋商小组依据法律法规和磋商文件的规定，对响应文件中的资格证明文件进行审查，以确定供应商是否具备参加磋商的资格。</w:t>
      </w:r>
      <w:r/>
    </w:p>
    <w:p>
      <w:pPr>
        <w:ind w:firstLine="480"/>
        <w:spacing w:line="46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信用信息查询：磋商小组查询供应商的信用信息，以确定供应商是否具备磋商资格。查询结果留存并归档。</w:t>
      </w:r>
      <w:r/>
    </w:p>
    <w:p>
      <w:pPr>
        <w:ind w:firstLine="480"/>
        <w:spacing w:line="480" w:lineRule="exact"/>
        <w:shd w:val="clear" w:color="auto" w:fill="ffffff" w:themeFill="background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17.2符合性审查</w:t>
      </w:r>
      <w:r/>
    </w:p>
    <w:p>
      <w:pPr>
        <w:ind w:firstLine="480"/>
        <w:spacing w:line="480" w:lineRule="exact"/>
        <w:shd w:val="clear" w:color="auto" w:fill="ffffff" w:themeFill="background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17.2.2在详细评审之前，磋商小组将首先审查每份响应文件是否实质性响应了磋商文件的要求。</w:t>
      </w:r>
      <w:r>
        <w:rPr>
          <w:rFonts w:hint="eastAsia" w:ascii="宋体" w:hAnsi="宋体" w:eastAsia="宋体" w:cs="宋体"/>
          <w:color w:val="auto"/>
          <w:sz w:val="24"/>
          <w:szCs w:val="24"/>
          <w:highlight w:val="none"/>
        </w:rPr>
        <w:t xml:space="preserve">实质性响应的文件应该是</w:t>
      </w:r>
      <w:r>
        <w:rPr>
          <w:rFonts w:hint="eastAsia" w:ascii="宋体" w:hAnsi="宋体" w:eastAsia="宋体" w:cs="宋体"/>
          <w:color w:val="auto"/>
          <w:sz w:val="24"/>
          <w:szCs w:val="24"/>
          <w:highlight w:val="none"/>
        </w:rPr>
        <w:t xml:space="preserve">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t xml:space="preserve">17.3未通过资格审查或符合性审查的供应商，磋商小组将在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17.5相同品牌产品响应</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17.6磋商</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17.7有关问题的澄清</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shd w:val="clear" w:color="auto" w:fill="ffffff" w:themeFill="background1"/>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t xml:space="preserve">17.8最后报价</w:t>
      </w:r>
      <w:r/>
    </w:p>
    <w:p>
      <w:pPr>
        <w:ind w:firstLine="480"/>
        <w:spacing w:line="480" w:lineRule="exact"/>
        <w:tabs>
          <w:tab w:val="left" w:pos="900" w:leader="none"/>
        </w:tabs>
        <w:rPr>
          <w:rFonts w:ascii="Times New Roman" w:hAnsi="Times New Roman"/>
          <w:color w:val="auto"/>
          <w:sz w:val="24"/>
          <w:szCs w:val="24"/>
          <w:highlight w:val="none"/>
        </w:rPr>
      </w:pPr>
      <w:r/>
      <w:bookmarkStart w:id="78" w:name="_Toc141869966"/>
      <w:r>
        <w:rPr>
          <w:rFonts w:hint="eastAsia" w:ascii="Times New Roman" w:hAnsi="Times New Roman" w:cs="仿宋"/>
          <w:color w:val="auto"/>
          <w:sz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79" w:name="EB7c676092b0b54336b4f7c76350bf2f81"/>
      <w:r/>
      <w:r/>
    </w:p>
    <w:p>
      <w:pPr>
        <w:ind w:firstLine="482"/>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b/>
          <w:color w:val="auto"/>
          <w:sz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79"/>
      <w:r/>
      <w:r/>
    </w:p>
    <w:p>
      <w:pPr>
        <w:ind w:firstLine="480"/>
        <w:spacing w:line="480" w:lineRule="exact"/>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17.8.5项目评审中，不得去掉最后报价中的最高报价和最低报价。</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17.8.6</w:t>
      </w:r>
      <w:r>
        <w:rPr>
          <w:rFonts w:hint="eastAsia" w:ascii="Times New Roman" w:hAnsi="Times New Roman"/>
          <w:color w:val="auto"/>
          <w:sz w:val="24"/>
          <w:szCs w:val="24"/>
          <w:highlight w:val="none"/>
        </w:rPr>
        <w:t xml:space="preserve">符合《政府采购竞争性磋商采购方式</w:t>
      </w:r>
      <w:r>
        <w:rPr>
          <w:rFonts w:hint="eastAsia" w:ascii="Times New Roman" w:hAnsi="Times New Roman"/>
          <w:color w:val="auto"/>
          <w:sz w:val="24"/>
          <w:szCs w:val="24"/>
          <w:highlight w:val="none"/>
          <w:lang w:val="en-US" w:eastAsia="zh-CN"/>
        </w:rPr>
        <w:t xml:space="preserve">管</w:t>
      </w:r>
      <w:r>
        <w:rPr>
          <w:rFonts w:hint="eastAsia" w:ascii="Times New Roman" w:hAnsi="Times New Roman"/>
          <w:color w:val="auto"/>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17.9推荐成交候选供应商</w:t>
      </w:r>
      <w:r/>
    </w:p>
    <w:p>
      <w:pPr>
        <w:ind w:firstLine="477"/>
        <w:spacing w:after="120" w:line="480" w:lineRule="exact"/>
        <w:tabs>
          <w:tab w:val="left" w:pos="900" w:leader="none"/>
        </w:tabs>
        <w:rPr>
          <w:rFonts w:ascii="Times New Roman" w:hAnsi="Times New Roman" w:cs="仿宋"/>
          <w:color w:val="auto"/>
          <w:sz w:val="24"/>
          <w:highlight w:val="none"/>
        </w:rPr>
      </w:pPr>
      <w:r/>
      <w:bookmarkStart w:id="80" w:name="OLE_LINK5"/>
      <w:r>
        <w:rPr>
          <w:rFonts w:hint="eastAsia" w:ascii="Times New Roman" w:hAnsi="Times New Roman" w:cs="仿宋"/>
          <w:color w:val="auto"/>
          <w:sz w:val="24"/>
          <w:highlight w:val="none"/>
        </w:rPr>
        <w:t xml:space="preserve">磋商小组根据综合评分情况，按照评审得分由高到低顺序推荐3名成交候选供应商，并编写评审报告</w:t>
      </w:r>
      <w:bookmarkEnd w:id="80"/>
      <w:r>
        <w:rPr>
          <w:rFonts w:hint="eastAsia" w:ascii="Times New Roman" w:hAnsi="Times New Roman" w:cs="仿宋"/>
          <w:color w:val="auto"/>
          <w:sz w:val="24"/>
          <w:highlight w:val="none"/>
        </w:rPr>
        <w:t xml:space="preserve">。符合本磋商文件17.8.</w:t>
      </w:r>
      <w:r>
        <w:rPr>
          <w:rFonts w:hint="eastAsia" w:ascii="Times New Roman" w:hAnsi="Times New Roman" w:cs="仿宋"/>
          <w:color w:val="auto"/>
          <w:sz w:val="24"/>
          <w:highlight w:val="none"/>
          <w:lang w:val="en-US" w:eastAsia="zh-CN"/>
        </w:rPr>
        <w:t xml:space="preserve">6</w:t>
      </w:r>
      <w:r>
        <w:rPr>
          <w:rFonts w:hint="eastAsia" w:ascii="Times New Roman" w:hAnsi="Times New Roman" w:cs="仿宋"/>
          <w:color w:val="auto"/>
          <w:sz w:val="24"/>
          <w:highlight w:val="none"/>
        </w:rPr>
        <w:t xml:space="preserve">情形的，可以推荐2名成交候选供应商。评审得分相同的，按照最后报价由低到高的顺序推荐。评审得分且最后报价相同的，按照技术指标优劣顺序推荐。</w:t>
      </w:r>
      <w:r/>
    </w:p>
    <w:p>
      <w:pPr>
        <w:pStyle w:val="777"/>
        <w:ind w:firstLine="321"/>
        <w:spacing w:before="0" w:after="0" w:line="520" w:lineRule="exact"/>
        <w:shd w:val="clear" w:color="auto" w:fill="ffffff" w:themeFill="background1"/>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六、无效响应、采购活动终止、</w:t>
      </w:r>
      <w:bookmarkEnd w:id="78"/>
      <w:r>
        <w:rPr>
          <w:rFonts w:hint="eastAsia" w:ascii="宋体" w:hAnsi="宋体" w:eastAsia="宋体" w:cs="宋体"/>
          <w:b/>
          <w:bCs/>
          <w:color w:val="auto"/>
          <w:sz w:val="32"/>
          <w:highlight w:val="none"/>
        </w:rPr>
        <w:t xml:space="preserve">恶意串通及取消成交候选资格情形</w:t>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18、无效响应情形</w:t>
      </w:r>
      <w:r/>
    </w:p>
    <w:p>
      <w:pPr>
        <w:ind w:firstLine="482"/>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18.1供应商同一采购包提交两个以上（含两个）不同的响应文件或者最后报价的。</w:t>
      </w:r>
      <w:r/>
    </w:p>
    <w:p>
      <w:pPr>
        <w:ind w:firstLine="482"/>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18.2供应商不符合磋商文件规定资格要求的或响应文件未按规定提交资质证件的。</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18.3供应商的报价超过了采购预算或最高限价的。</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18.4响应文件未通过符合性审查的。</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18.5响应文件出现重大偏离，不符合磋商文件中规定的实质性要求的（★部分为实质性要求）。</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18.6响应文件未按照磋商文件要求加盖CA电子公章的。</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18.8响应文件含有采购人不能接受的附加条件的。</w:t>
      </w:r>
      <w:r/>
    </w:p>
    <w:p>
      <w:pPr>
        <w:ind w:firstLine="482"/>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18.9供应商有本磋商文件规定的恶意串通情形的。</w:t>
      </w:r>
      <w:r/>
    </w:p>
    <w:p>
      <w:pPr>
        <w:ind w:firstLine="482"/>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18.10法律、法规规定的其它情况。</w:t>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19、采购活动终止情形</w:t>
      </w:r>
      <w:r/>
    </w:p>
    <w:p>
      <w:pPr>
        <w:ind w:firstLine="482"/>
        <w:spacing w:line="480" w:lineRule="exact"/>
        <w:shd w:val="clear" w:color="auto" w:fill="ffffff" w:themeFill="background1"/>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19.1因情况变化，不再符合规定的竞争性磋商采购方式适用情形的（增）；</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19.2符合专业条件的供应商或者对磋商文件作实质响应的供应商不足3家的（符合17.8.6情形除外）。</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19.3出现影响采购公正的违法、违规行为的。</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19.4因重大变故，采购任务取消的。</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19.5磋商小组认定磋商文件存在歧义、重大缺陷导致评审工作无法进行。</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19.6在苏采云系统规定时间内成功解密电子响应文件的供应商不足3家的。</w:t>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20、恶意串通情形</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20.1供应商直接或间接从采购人或采购代理机构处获得其他供应商的相关情况并修改其响应文件；</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20.2供应商接受采购人或采购代理机构授意撤换、修改响应文件；</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20.3供应商之间协商报价、技术方案等响应文件实质性内容；</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20.4属于同一集团、协会、商会等组织成员的供应商按照该组织要求协同参与政府采购活动的；</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20.5供应商之间事先约定由某一特定供应商成交；</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20.6供应商之间商定部分供应商放弃参加政府采购活动或者放弃成交；</w:t>
      </w:r>
      <w:r/>
    </w:p>
    <w:p>
      <w:pPr>
        <w:ind w:firstLine="482"/>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20.7供应商与采购人或采购代理机构之间、供应商相互之间为谋求特定供应商成交或者排斥其他供应商的其他串通行为。</w:t>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21、</w:t>
      </w:r>
      <w:bookmarkStart w:id="81" w:name="OLE_LINK2"/>
      <w:r>
        <w:rPr>
          <w:rFonts w:hint="eastAsia" w:ascii="宋体" w:hAnsi="宋体" w:eastAsia="宋体" w:cs="宋体"/>
          <w:b/>
          <w:color w:val="auto"/>
          <w:sz w:val="24"/>
          <w:highlight w:val="none"/>
        </w:rPr>
        <w:t xml:space="preserve">取消成交（候选）供应商资格</w:t>
      </w:r>
      <w:bookmarkEnd w:id="81"/>
      <w:r>
        <w:rPr>
          <w:rFonts w:hint="eastAsia" w:ascii="宋体" w:hAnsi="宋体" w:eastAsia="宋体" w:cs="宋体"/>
          <w:b/>
          <w:color w:val="auto"/>
          <w:sz w:val="24"/>
          <w:highlight w:val="none"/>
        </w:rPr>
        <w:t xml:space="preserve">条款</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21.1提供虚假材料谋取成交的；</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21.2采取不正当手段诋毁、排挤其他供应商的；</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21.3与采购人、其他供应商或者采购代理机构恶意串通的；</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21.4向采购人、采购代理机构行贿或者提供其他不正当利益的；</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21.5未在规定时间内与采购人签订采购合同的；</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21.6法律、法规规定的其它情况。</w:t>
      </w:r>
      <w:r/>
    </w:p>
    <w:p>
      <w:pPr>
        <w:pStyle w:val="777"/>
        <w:ind w:firstLine="321"/>
        <w:spacing w:before="0" w:after="0" w:line="520" w:lineRule="exact"/>
        <w:shd w:val="clear" w:color="auto" w:fill="ffffff" w:themeFill="background1"/>
        <w:rPr>
          <w:rFonts w:hint="eastAsia" w:ascii="宋体" w:hAnsi="宋体" w:eastAsia="宋体" w:cs="宋体"/>
          <w:b/>
          <w:bCs/>
          <w:color w:val="auto"/>
          <w:sz w:val="32"/>
          <w:highlight w:val="none"/>
        </w:rPr>
      </w:pPr>
      <w:r/>
      <w:bookmarkStart w:id="82" w:name="_Toc141869968"/>
      <w:r>
        <w:rPr>
          <w:rFonts w:hint="eastAsia" w:ascii="宋体" w:hAnsi="宋体" w:eastAsia="宋体" w:cs="宋体"/>
          <w:b/>
          <w:bCs/>
          <w:color w:val="auto"/>
          <w:sz w:val="32"/>
          <w:highlight w:val="none"/>
        </w:rPr>
        <w:t xml:space="preserve">七、成交及合同签订</w:t>
      </w:r>
      <w:bookmarkEnd w:id="82"/>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22、确定成交供应商</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22.3采购人确定正被列为失信被执行人的供应商为成交人的，成交结果无效。</w:t>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23、成交通知书</w:t>
      </w:r>
      <w:r/>
    </w:p>
    <w:p>
      <w:pPr>
        <w:ind w:firstLine="482"/>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w:t>
      </w:r>
      <w:r>
        <w:rPr>
          <w:rFonts w:hint="eastAsia" w:ascii="宋体" w:hAnsi="宋体" w:eastAsia="宋体" w:cs="宋体"/>
          <w:color w:val="auto"/>
          <w:sz w:val="24"/>
          <w:szCs w:val="24"/>
          <w:highlight w:val="none"/>
        </w:rPr>
        <w:t xml:space="preserve">成交通知书发出后，采购人改变成交结果的或者成交供应商放弃成交项目的，应当依法承担法律责任。</w:t>
      </w:r>
      <w:r/>
    </w:p>
    <w:p>
      <w:pPr>
        <w:ind w:firstLine="482"/>
        <w:spacing w:line="48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24、签订和公告合同</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24.1采购人与成交供应商应当在成交通知书发出之日起15日内</w:t>
      </w:r>
      <w:r>
        <w:rPr>
          <w:rFonts w:hint="eastAsia" w:ascii="宋体" w:hAnsi="宋体" w:eastAsia="宋体" w:cs="宋体"/>
          <w:color w:val="auto"/>
          <w:sz w:val="24"/>
          <w:szCs w:val="24"/>
          <w:highlight w:val="none"/>
        </w:rPr>
        <w:t xml:space="preserve">，按照磋商文件确定的事项与采购人签订政府采购合同。</w:t>
      </w:r>
      <w:r>
        <w:rPr>
          <w:rFonts w:hint="eastAsia" w:ascii="宋体" w:hAnsi="宋体" w:eastAsia="宋体" w:cs="宋体"/>
          <w:color w:val="auto"/>
          <w:sz w:val="24"/>
          <w:highlight w:val="none"/>
        </w:rPr>
        <w:t xml:space="preserve">竞争性磋商文件、成交供应商的响应文件以及磋商过程中有关澄清文件均作为合同附件。</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24.3采购人在自合同签订之日起2个工作日内，将合同在指定的媒体上公告。</w:t>
      </w:r>
      <w:r/>
    </w:p>
    <w:p>
      <w:pPr>
        <w:ind w:firstLine="482"/>
        <w:spacing w:line="480" w:lineRule="exact"/>
        <w:shd w:val="clear" w:color="auto" w:fill="ffffff" w:themeFill="background1"/>
        <w:rPr>
          <w:rFonts w:hint="eastAsia" w:ascii="宋体" w:hAnsi="宋体" w:eastAsia="宋体" w:cs="宋体"/>
          <w:b/>
          <w:color w:val="auto"/>
          <w:sz w:val="24"/>
          <w:highlight w:val="none"/>
        </w:rPr>
      </w:pPr>
      <w:r/>
      <w:bookmarkStart w:id="83" w:name="_Toc141869969"/>
      <w:r>
        <w:rPr>
          <w:rFonts w:hint="eastAsia" w:ascii="宋体" w:hAnsi="宋体" w:eastAsia="宋体" w:cs="宋体"/>
          <w:b/>
          <w:color w:val="auto"/>
          <w:sz w:val="24"/>
          <w:highlight w:val="none"/>
        </w:rPr>
        <w:t xml:space="preserve">25、履约保证金</w:t>
      </w:r>
      <w:r/>
    </w:p>
    <w:p>
      <w:pPr>
        <w:ind w:firstLine="482"/>
        <w:spacing w:line="559" w:lineRule="atLeast"/>
        <w:shd w:val="clear" w:color="auto"/>
        <w:rPr>
          <w:rFonts w:hint="eastAsia"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按照以下第</w:t>
      </w:r>
      <w:r>
        <w:rPr>
          <w:rFonts w:hint="eastAsia" w:ascii="宋体" w:hAnsi="宋体" w:eastAsia="宋体" w:cs="宋体"/>
          <w:color w:val="auto"/>
          <w:sz w:val="24"/>
          <w:highlight w:val="none"/>
          <w:u w:val="single"/>
          <w:lang w:val="en-US" w:eastAsia="zh-CN"/>
        </w:rPr>
        <w:t xml:space="preserve"> (2) </w:t>
      </w:r>
      <w:r>
        <w:rPr>
          <w:rFonts w:hint="eastAsia" w:ascii="宋体" w:hAnsi="宋体" w:eastAsia="宋体" w:cs="宋体"/>
          <w:color w:val="auto"/>
          <w:sz w:val="24"/>
          <w:highlight w:val="none"/>
          <w:lang w:val="zh-CN" w:eastAsia="zh-CN"/>
        </w:rPr>
        <w:t xml:space="preserve">方式确定履约保证收取方式。</w:t>
      </w:r>
      <w:r/>
    </w:p>
    <w:p>
      <w:pPr>
        <w:ind w:firstLine="482"/>
        <w:spacing w:line="559" w:lineRule="atLeast"/>
        <w:shd w:val="clear" w:color="auto"/>
        <w:rPr>
          <w:rFonts w:hint="eastAsia"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(1)不收取履约保证金。</w:t>
      </w:r>
      <w:r/>
    </w:p>
    <w:p>
      <w:pPr>
        <w:ind w:firstLine="482"/>
        <w:spacing w:line="559" w:lineRule="atLeast"/>
        <w:shd w:val="clear" w:color="auto"/>
        <w:rPr>
          <w:rFonts w:hint="eastAsia"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(2)本项目收取履约保证金。履约保证金应在采购合同签订前提交，履约保证金的金额:按采购合同总价的</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zh-CN" w:eastAsia="zh-CN"/>
        </w:rPr>
        <w:t xml:space="preserve">2%</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zh-CN" w:eastAsia="zh-CN"/>
        </w:rPr>
        <w:t xml:space="preserve">（使用江苏政府采购电子履约保函(保险)代替缴纳履约保证金，按采购合同总价的1.2%)计取。除银行电汇、网上银行、数字人民币外，</w:t>
      </w:r>
      <w:r>
        <w:rPr>
          <w:rFonts w:hint="eastAsia" w:ascii="宋体" w:hAnsi="宋体" w:cs="宋体"/>
          <w:color w:val="auto"/>
          <w:sz w:val="24"/>
          <w:highlight w:val="none"/>
          <w:lang w:val="zh-CN" w:eastAsia="zh-CN"/>
        </w:rPr>
        <w:t xml:space="preserve">供应商</w:t>
      </w:r>
      <w:r>
        <w:rPr>
          <w:rFonts w:hint="eastAsia" w:ascii="宋体" w:hAnsi="宋体" w:eastAsia="宋体" w:cs="宋体"/>
          <w:color w:val="auto"/>
          <w:sz w:val="24"/>
          <w:highlight w:val="none"/>
          <w:lang w:val="zh-CN" w:eastAsia="zh-CN"/>
        </w:rPr>
        <w:t xml:space="preserve">还可选用银行保函、担保公司的保证担保或保险公司的保证保险等多种形式向采购人缴纳;</w:t>
      </w:r>
      <w:r/>
    </w:p>
    <w:p>
      <w:pPr>
        <w:ind w:firstLine="482"/>
        <w:spacing w:line="559" w:lineRule="atLeast"/>
        <w:shd w:val="clear" w:color="auto"/>
        <w:rPr>
          <w:rFonts w:hint="eastAsia"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备注：</w:t>
      </w:r>
      <w:r/>
    </w:p>
    <w:p>
      <w:pPr>
        <w:ind w:firstLine="482"/>
        <w:spacing w:line="559" w:lineRule="atLeast"/>
        <w:shd w:val="clear" w:color="auto"/>
        <w:rPr>
          <w:rFonts w:hint="eastAsia"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a.履约保证金的递交时间：在中标公告发布之日起  ☑ 7  □ 14  □ 21日历天内提交；</w:t>
      </w:r>
      <w:r/>
    </w:p>
    <w:p>
      <w:pPr>
        <w:ind w:firstLine="482"/>
        <w:spacing w:line="559" w:lineRule="atLeast"/>
        <w:shd w:val="clear" w:color="auto"/>
        <w:rPr>
          <w:rFonts w:hint="eastAsia" w:ascii="宋体" w:hAnsi="宋体" w:eastAsia="宋体" w:cs="宋体"/>
          <w:color w:val="auto"/>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b.采用银行电汇、网上银行等方式缴纳履约保证金的，应从中标人法人基本存款账户转到保证金专用账户； </w:t>
      </w:r>
      <w:r/>
    </w:p>
    <w:p>
      <w:pPr>
        <w:ind w:left="0" w:right="0" w:firstLine="480"/>
        <w:jc w:val="both"/>
        <w:spacing w:before="0" w:after="0" w:line="499" w:lineRule="atLeast"/>
        <w:shd w:val="clear" w:color="auto" w:fill="ffffff" w:themeFill="background1"/>
        <w:rPr>
          <w:rFonts w:hint="eastAsia" w:ascii="宋体" w:hAnsi="宋体" w:eastAsia="宋体" w:cs="宋体"/>
          <w:bCs/>
          <w:color w:val="auto"/>
          <w:sz w:val="24"/>
          <w:szCs w:val="21"/>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c.采用数字人民币方式缴纳的，使用投标企业数字人民币对公钱包一次性转钱至泗洪县公共资源交易中心数字人民币</w:t>
      </w:r>
      <w:r>
        <w:rPr>
          <w:rFonts w:hint="eastAsia" w:ascii="宋体" w:hAnsi="宋体" w:eastAsia="宋体" w:cs="宋体"/>
          <w:bCs/>
          <w:color w:val="auto"/>
          <w:sz w:val="24"/>
          <w:szCs w:val="21"/>
          <w:highlight w:val="none"/>
          <w:lang w:val="zh-CN" w:eastAsia="zh-CN" w:bidi="ar-SA"/>
        </w:rPr>
        <w:t xml:space="preserve">钱包</w:t>
      </w:r>
      <w:r>
        <w:rPr>
          <w:rFonts w:hint="eastAsia" w:ascii="宋体" w:hAnsi="宋体" w:eastAsia="宋体" w:cs="宋体"/>
          <w:color w:val="auto"/>
          <w:sz w:val="24"/>
          <w:highlight w:val="none"/>
        </w:rPr>
        <w:t xml:space="preserve">（钱包ID：0092118799300008，运营机构：中国交通银行股份有限公司）</w:t>
      </w:r>
      <w:r>
        <w:rPr>
          <w:rFonts w:hint="eastAsia" w:ascii="宋体" w:hAnsi="宋体" w:eastAsia="宋体" w:cs="宋体"/>
          <w:bCs/>
          <w:color w:val="auto"/>
          <w:sz w:val="24"/>
          <w:szCs w:val="21"/>
          <w:highlight w:val="none"/>
          <w:lang w:val="zh-CN" w:eastAsia="zh-CN" w:bidi="ar-SA"/>
        </w:rPr>
        <w:t xml:space="preserve">，并备注为：</w:t>
      </w:r>
      <w:r>
        <w:rPr>
          <w:rFonts w:hint="eastAsia" w:ascii="宋体" w:hAnsi="宋体" w:cs="宋体"/>
          <w:color w:val="auto"/>
          <w:sz w:val="24"/>
          <w:highlight w:val="none"/>
          <w:u w:val="single"/>
          <w:lang w:eastAsia="zh-CN"/>
        </w:rPr>
        <w:t xml:space="preserve">泗洪县(2026-2027年度)残疾人综合意外险采购项目</w:t>
      </w:r>
      <w:r>
        <w:rPr>
          <w:rFonts w:hint="eastAsia" w:ascii="宋体" w:hAnsi="宋体" w:eastAsia="宋体" w:cs="宋体"/>
          <w:bCs/>
          <w:color w:val="auto"/>
          <w:sz w:val="24"/>
          <w:szCs w:val="21"/>
          <w:highlight w:val="none"/>
          <w:lang w:val="zh-CN" w:eastAsia="zh-CN" w:bidi="ar-SA"/>
        </w:rPr>
        <w:t xml:space="preserve">履约保证金；</w:t>
      </w:r>
      <w:r/>
    </w:p>
    <w:p>
      <w:pPr>
        <w:ind w:firstLine="482"/>
        <w:spacing w:line="559" w:lineRule="atLeast"/>
        <w:shd w:val="clear" w:color="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d.采用银行保函、担保公司的保证担保或保险公司的保证保险形式缴纳履约保证金的，以银行保函、担保公司的保证担保或保险公司的保证保险等形式提交履约保证金的，</w:t>
      </w:r>
      <w:bookmarkStart w:id="84" w:name="OLE_LINK39"/>
      <w:r>
        <w:rPr>
          <w:rFonts w:hint="eastAsia" w:ascii="宋体" w:hAnsi="宋体" w:eastAsia="宋体" w:cs="宋体"/>
          <w:color w:val="auto"/>
          <w:sz w:val="24"/>
          <w:highlight w:val="none"/>
          <w:lang w:val="zh-CN" w:eastAsia="zh-CN"/>
        </w:rPr>
        <w:t xml:space="preserve">其有效期应包括本项目供货工期的范围。以保函、担保、保险形式提交的履约保证金递交至当地公共资源交易中心。</w:t>
      </w:r>
      <w:bookmarkEnd w:id="84"/>
      <w:r/>
      <w:r/>
    </w:p>
    <w:p>
      <w:pPr>
        <w:ind w:firstLine="482"/>
        <w:spacing w:line="559" w:lineRule="atLeast"/>
        <w:shd w:val="clear" w:color="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履约保证金退还的方式：以银行电汇、网上银行、数字人民币形式缴纳履约保证金的，退回至</w:t>
      </w:r>
      <w:r>
        <w:rPr>
          <w:rFonts w:hint="eastAsia" w:ascii="宋体" w:hAnsi="宋体" w:cs="宋体"/>
          <w:color w:val="auto"/>
          <w:sz w:val="24"/>
          <w:highlight w:val="none"/>
          <w:lang w:val="zh-CN"/>
        </w:rPr>
        <w:t xml:space="preserve">供应商</w:t>
      </w:r>
      <w:r>
        <w:rPr>
          <w:rFonts w:hint="eastAsia" w:ascii="宋体" w:hAnsi="宋体" w:eastAsia="宋体" w:cs="宋体"/>
          <w:color w:val="auto"/>
          <w:sz w:val="24"/>
          <w:highlight w:val="none"/>
          <w:lang w:val="zh-CN"/>
        </w:rPr>
        <w:t xml:space="preserve">存款账户或</w:t>
      </w:r>
      <w:r>
        <w:rPr>
          <w:rFonts w:hint="eastAsia" w:ascii="宋体" w:hAnsi="宋体" w:cs="宋体"/>
          <w:color w:val="auto"/>
          <w:sz w:val="24"/>
          <w:highlight w:val="none"/>
          <w:lang w:val="zh-CN"/>
        </w:rPr>
        <w:t xml:space="preserve">供应商</w:t>
      </w:r>
      <w:r>
        <w:rPr>
          <w:rFonts w:hint="eastAsia" w:ascii="宋体" w:hAnsi="宋体" w:eastAsia="宋体" w:cs="宋体"/>
          <w:color w:val="auto"/>
          <w:sz w:val="24"/>
          <w:highlight w:val="none"/>
          <w:lang w:val="zh-CN"/>
        </w:rPr>
        <w:t xml:space="preserve">数字人民币账户；以保函、担保、保险等形式缴纳履约保证金的，在保函、担保、保险约定的保证期限届满之日起自行失效；</w:t>
      </w:r>
      <w:r/>
    </w:p>
    <w:p>
      <w:pPr>
        <w:ind w:firstLine="482"/>
        <w:spacing w:line="559" w:lineRule="atLeast"/>
        <w:shd w:val="clear" w:color="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履约保证金缴退咨询电话：0527-89889051；</w:t>
      </w:r>
      <w:r/>
    </w:p>
    <w:p>
      <w:pPr>
        <w:ind w:firstLine="482"/>
        <w:spacing w:line="559" w:lineRule="atLeast"/>
        <w:shd w:val="clear" w:color="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履约保证金退还的条件：按以下方式实行：</w:t>
      </w:r>
      <w:r/>
    </w:p>
    <w:p>
      <w:pPr>
        <w:ind w:firstLine="482"/>
        <w:spacing w:line="559" w:lineRule="atLeast"/>
        <w:shd w:val="clear" w:color="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货物类项目，项目验收合格，出具验收报告及履约保证金收据申请退付；</w:t>
      </w:r>
      <w:r/>
    </w:p>
    <w:p>
      <w:pPr>
        <w:ind w:firstLine="482"/>
        <w:spacing w:line="559" w:lineRule="atLeast"/>
        <w:shd w:val="clear" w:color="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履约保证金退还时间：采购单位收到</w:t>
      </w:r>
      <w:r>
        <w:rPr>
          <w:rFonts w:hint="eastAsia" w:ascii="宋体" w:hAnsi="宋体" w:cs="宋体"/>
          <w:color w:val="auto"/>
          <w:sz w:val="24"/>
          <w:highlight w:val="none"/>
          <w:lang w:val="zh-CN"/>
        </w:rPr>
        <w:t xml:space="preserve">供应商</w:t>
      </w:r>
      <w:r>
        <w:rPr>
          <w:rFonts w:hint="eastAsia" w:ascii="宋体" w:hAnsi="宋体" w:eastAsia="宋体" w:cs="宋体"/>
          <w:color w:val="auto"/>
          <w:sz w:val="24"/>
          <w:highlight w:val="none"/>
          <w:lang w:val="zh-CN"/>
        </w:rPr>
        <w:t xml:space="preserve">退付申请后5个工作日内退还；</w:t>
      </w:r>
      <w:r/>
    </w:p>
    <w:p>
      <w:pPr>
        <w:ind w:firstLine="482"/>
        <w:spacing w:line="559" w:lineRule="atLeast"/>
        <w:shd w:val="clear" w:color="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履约保证金不予退还情形：除不可抗力外，</w:t>
      </w:r>
      <w:r>
        <w:rPr>
          <w:rFonts w:hint="eastAsia" w:ascii="宋体" w:hAnsi="宋体" w:cs="宋体"/>
          <w:color w:val="auto"/>
          <w:sz w:val="24"/>
          <w:highlight w:val="none"/>
          <w:lang w:val="zh-CN"/>
        </w:rPr>
        <w:t xml:space="preserve">供应商</w:t>
      </w:r>
      <w:r>
        <w:rPr>
          <w:rFonts w:hint="eastAsia" w:ascii="宋体" w:hAnsi="宋体" w:eastAsia="宋体" w:cs="宋体"/>
          <w:color w:val="auto"/>
          <w:sz w:val="24"/>
          <w:highlight w:val="none"/>
          <w:lang w:val="zh-CN"/>
        </w:rPr>
        <w:t xml:space="preserve">不履行与采购人订立的采购合同的，履约保证金不予退还，给采购人造成的损失超过履约保证金数额的，还应当对超过部分予以赔偿；</w:t>
      </w:r>
      <w:r/>
    </w:p>
    <w:p>
      <w:pPr>
        <w:ind w:firstLine="482"/>
        <w:spacing w:line="559" w:lineRule="atLeast"/>
        <w:shd w:val="clear" w:color="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逾期退还履约保证金的违约责任：除应当退还履约保证金外，还应当按中国人民银行同期贷款基准利率上浮20％后的利率支付超期资金占用费，但因</w:t>
      </w:r>
      <w:r>
        <w:rPr>
          <w:rFonts w:hint="eastAsia" w:ascii="宋体" w:hAnsi="宋体" w:cs="宋体"/>
          <w:color w:val="auto"/>
          <w:sz w:val="24"/>
          <w:highlight w:val="none"/>
          <w:lang w:val="zh-CN"/>
        </w:rPr>
        <w:t xml:space="preserve">供应商</w:t>
      </w:r>
      <w:r>
        <w:rPr>
          <w:rFonts w:hint="eastAsia" w:ascii="宋体" w:hAnsi="宋体" w:eastAsia="宋体" w:cs="宋体"/>
          <w:color w:val="auto"/>
          <w:sz w:val="24"/>
          <w:highlight w:val="none"/>
          <w:lang w:val="zh-CN"/>
        </w:rPr>
        <w:t xml:space="preserve">自身原因导致无法及时退还的除外。</w:t>
      </w:r>
      <w:r/>
    </w:p>
    <w:p>
      <w:pPr>
        <w:ind w:firstLine="482"/>
        <w:spacing w:line="559" w:lineRule="atLeast"/>
        <w:shd w:val="clear" w:color="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color w:val="auto"/>
          <w:sz w:val="24"/>
          <w:highlight w:val="none"/>
          <w:lang w:val="en-US" w:eastAsia="zh-CN"/>
        </w:rPr>
        <w:t xml:space="preserve">                    </w:t>
      </w:r>
      <w:r/>
    </w:p>
    <w:p>
      <w:pPr>
        <w:ind w:firstLine="482"/>
        <w:spacing w:line="559" w:lineRule="atLeast"/>
        <w:shd w:val="clear" w:color="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具体操作流程见相关网页</w:t>
      </w:r>
      <w:r/>
    </w:p>
    <w:p>
      <w:pPr>
        <w:ind w:firstLine="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http://czt.jiangsu.gov.cn/art/2023/12/15/art_84851_11100104.html。</w:t>
      </w:r>
      <w:r/>
    </w:p>
    <w:p>
      <w:pPr>
        <w:ind w:firstLine="482"/>
        <w:spacing w:line="480" w:lineRule="exact"/>
        <w:shd w:val="clear" w:color="auto" w:fill="ffffff" w:themeFill="background1"/>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 xml:space="preserve">26、线上融资</w:t>
      </w:r>
      <w:r/>
    </w:p>
    <w:p>
      <w:pPr>
        <w:ind w:firstLine="480"/>
        <w:spacing w:line="480" w:lineRule="exact"/>
        <w:shd w:val="clear" w:color="auto" w:fill="ffffff" w:themeFill="background1"/>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成交供应商可凭政府采购合同办理融资贷款，详情见江苏政府采购网“政采贷”专栏。</w:t>
      </w:r>
      <w:r/>
    </w:p>
    <w:p>
      <w:pPr>
        <w:ind w:firstLine="482"/>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27、合同履行</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27.1政府采购合同订立后，合同各方不得擅自变更、中止或者终止合同。</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83"/>
      <w:r/>
      <w:r/>
    </w:p>
    <w:p>
      <w:pPr>
        <w:ind w:firstLine="480"/>
        <w:spacing w:line="480" w:lineRule="exact"/>
        <w:shd w:val="clear" w:color="auto" w:fill="ffffff" w:themeFill="background1"/>
        <w:rPr>
          <w:rFonts w:hint="eastAsia" w:ascii="宋体" w:hAnsi="宋体" w:eastAsia="宋体" w:cs="宋体"/>
          <w:b/>
          <w:bCs/>
          <w:color w:val="auto"/>
          <w:sz w:val="24"/>
          <w:highlight w:val="none"/>
        </w:rPr>
      </w:pPr>
      <w:r/>
      <w:bookmarkStart w:id="85" w:name="_Toc141869970"/>
      <w:r>
        <w:rPr>
          <w:rFonts w:hint="eastAsia" w:ascii="宋体" w:hAnsi="宋体" w:eastAsia="宋体" w:cs="宋体"/>
          <w:b/>
          <w:bCs/>
          <w:color w:val="auto"/>
          <w:sz w:val="24"/>
          <w:highlight w:val="none"/>
        </w:rPr>
        <w:t xml:space="preserve">八、质疑与投诉</w:t>
      </w:r>
      <w:bookmarkEnd w:id="85"/>
      <w:r/>
      <w:r/>
    </w:p>
    <w:p>
      <w:pPr>
        <w:ind w:firstLine="480"/>
        <w:spacing w:line="480" w:lineRule="exact"/>
        <w:shd w:val="clear" w:color="auto" w:fill="ffffff" w:themeFill="background1"/>
        <w:rPr>
          <w:rFonts w:hint="eastAsia" w:ascii="宋体" w:hAnsi="宋体" w:eastAsia="宋体" w:cs="宋体"/>
          <w:b/>
          <w:bCs/>
          <w:color w:val="auto"/>
          <w:sz w:val="24"/>
          <w:highlight w:val="none"/>
        </w:rPr>
      </w:pPr>
      <w:r/>
      <w:bookmarkStart w:id="86" w:name="_Toc14692"/>
      <w:r/>
      <w:bookmarkStart w:id="87" w:name="_Toc3418"/>
      <w:r/>
      <w:bookmarkStart w:id="88" w:name="_Toc141869971"/>
      <w:r/>
      <w:bookmarkStart w:id="89" w:name="_Toc21941"/>
      <w:r>
        <w:rPr>
          <w:rFonts w:hint="eastAsia" w:ascii="宋体" w:hAnsi="宋体" w:eastAsia="宋体" w:cs="宋体"/>
          <w:b/>
          <w:bCs/>
          <w:color w:val="auto"/>
          <w:sz w:val="24"/>
          <w:highlight w:val="none"/>
          <w:lang w:val="en-US" w:eastAsia="zh-CN"/>
        </w:rPr>
        <w:t xml:space="preserve">28</w:t>
      </w:r>
      <w:r>
        <w:rPr>
          <w:rFonts w:hint="eastAsia" w:ascii="宋体" w:hAnsi="宋体" w:eastAsia="宋体" w:cs="宋体"/>
          <w:b/>
          <w:bCs/>
          <w:color w:val="auto"/>
          <w:sz w:val="24"/>
          <w:highlight w:val="none"/>
        </w:rPr>
        <w:t xml:space="preserve">、质疑与投诉</w:t>
      </w:r>
      <w:r/>
    </w:p>
    <w:p>
      <w:pPr>
        <w:ind w:firstLine="480"/>
        <w:spacing w:line="480" w:lineRule="exact"/>
        <w:shd w:val="clear" w:color="auto" w:fill="ffffff" w:themeFill="background1"/>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28.1 提出质疑的供应商应当是参与所质疑项目采购活动的供应商。潜在供应商依法获取其可质疑的采购文件的，可以对采购文件提出质疑。</w:t>
      </w:r>
      <w:r/>
    </w:p>
    <w:p>
      <w:pPr>
        <w:ind w:left="0" w:right="0" w:firstLine="480"/>
        <w:jc w:val="both"/>
        <w:spacing w:before="0" w:after="0" w:line="558" w:lineRule="atLeast"/>
        <w:shd w:val="clear" w:color="auto" w:fill="ffffff" w:themeFill="background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left="0" w:right="0" w:firstLine="480"/>
        <w:jc w:val="both"/>
        <w:spacing w:before="0" w:after="0" w:line="558" w:lineRule="atLeast"/>
        <w:shd w:val="clear" w:color="auto" w:fill="ffffff" w:themeFill="background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28.2.1对可以质疑的采购文件提出质疑的，为收到采购文件之日或者采购文件公告期限届满之日。</w:t>
      </w:r>
      <w:r/>
    </w:p>
    <w:p>
      <w:pPr>
        <w:ind w:left="0" w:right="0" w:firstLine="480"/>
        <w:jc w:val="both"/>
        <w:spacing w:before="0" w:after="0" w:line="558" w:lineRule="atLeast"/>
        <w:shd w:val="clear" w:color="auto" w:fill="ffffff" w:themeFill="background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28.2.2对采购过程提出质疑的，为各采购程序环节结束之日。</w:t>
      </w:r>
      <w:r/>
    </w:p>
    <w:p>
      <w:pPr>
        <w:ind w:left="0" w:right="0" w:firstLine="480"/>
        <w:jc w:val="both"/>
        <w:spacing w:before="0" w:after="0" w:line="558" w:lineRule="atLeast"/>
        <w:shd w:val="clear" w:color="auto" w:fill="ffffff" w:themeFill="background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28.2.3对成交结果提出质疑的，为成交结果公告期限届满之日。</w:t>
      </w:r>
      <w:r/>
    </w:p>
    <w:p>
      <w:pPr>
        <w:ind w:left="0" w:right="0" w:firstLine="480"/>
        <w:jc w:val="both"/>
        <w:spacing w:before="0" w:after="0" w:line="558" w:lineRule="atLeast"/>
        <w:shd w:val="clear" w:color="auto" w:fill="ffffff" w:themeFill="background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479" w:right="0" w:firstLine="0"/>
        <w:jc w:val="both"/>
        <w:spacing w:before="0" w:after="0" w:line="558" w:lineRule="atLeast"/>
        <w:shd w:val="clear" w:color="auto" w:fill="ffffff" w:themeFill="background1"/>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28.3质疑函必须按照本磋商文件中《质疑函范本》要求的格式和内容进行填写。</w:t>
      </w:r>
      <w:r/>
    </w:p>
    <w:p>
      <w:pPr>
        <w:ind w:left="479" w:right="0" w:firstLine="0"/>
        <w:jc w:val="both"/>
        <w:spacing w:before="0" w:after="0" w:line="558" w:lineRule="atLeast"/>
        <w:shd w:val="clear" w:color="auto" w:fill="ffffff" w:themeFill="background1"/>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28.4供应商应以书面形式向采购人或者其委托的采购代理机构提出质疑。质疑超出采购机构代理范围的，供应商应当向采购人提出。</w:t>
      </w:r>
      <w:r/>
    </w:p>
    <w:p>
      <w:pPr>
        <w:ind w:left="0" w:right="0" w:firstLine="480"/>
        <w:jc w:val="both"/>
        <w:spacing w:before="0" w:after="0" w:line="558" w:lineRule="atLeast"/>
        <w:shd w:val="clear" w:color="auto" w:fill="ffffff" w:themeFill="background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接收质疑函的方式：现场接收或邮寄接收。</w:t>
      </w:r>
      <w:r/>
    </w:p>
    <w:p>
      <w:pPr>
        <w:ind w:left="0" w:right="0" w:firstLine="480"/>
        <w:jc w:val="both"/>
        <w:spacing w:before="0" w:after="0" w:line="558" w:lineRule="atLeast"/>
        <w:shd w:val="clear" w:color="auto" w:fill="ffffff" w:themeFill="background1"/>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联系部门：</w:t>
      </w:r>
      <w:r>
        <w:rPr>
          <w:rFonts w:hint="eastAsia" w:ascii="宋体" w:hAnsi="宋体" w:cs="宋体"/>
          <w:color w:val="auto"/>
          <w:sz w:val="24"/>
          <w:highlight w:val="none"/>
          <w:lang w:eastAsia="zh-CN"/>
        </w:rPr>
        <w:t xml:space="preserve">泗洪县残疾人联合会</w:t>
      </w:r>
      <w:r>
        <w:rPr>
          <w:rFonts w:hint="eastAsia" w:ascii="宋体" w:hAnsi="宋体" w:cs="宋体"/>
          <w:color w:val="auto"/>
          <w:sz w:val="24"/>
          <w:highlight w:val="none"/>
          <w:lang w:val="en-US" w:eastAsia="zh-CN"/>
        </w:rPr>
        <w:t xml:space="preserve">/江苏襄盛工程咨询有限公司</w:t>
      </w:r>
      <w:r/>
    </w:p>
    <w:p>
      <w:pPr>
        <w:ind w:left="0" w:right="0" w:firstLine="480"/>
        <w:jc w:val="both"/>
        <w:spacing w:before="0" w:after="0" w:line="499" w:lineRule="atLeast"/>
        <w:shd w:val="clear" w:color="auto" w:fill="ffffff" w:themeFill="background1"/>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13852832228</w:t>
      </w:r>
      <w:r>
        <w:rPr>
          <w:rFonts w:hint="eastAsia" w:ascii="宋体" w:hAnsi="宋体" w:cs="宋体"/>
          <w:color w:val="auto"/>
          <w:sz w:val="24"/>
          <w:highlight w:val="none"/>
          <w:lang w:val="en-US" w:eastAsia="zh-CN"/>
        </w:rPr>
        <w:t xml:space="preserve"> / </w:t>
      </w:r>
      <w:r>
        <w:rPr>
          <w:rFonts w:hint="eastAsia" w:ascii="宋体" w:hAnsi="宋体" w:eastAsia="宋体" w:cs="宋体"/>
          <w:color w:val="auto"/>
          <w:sz w:val="24"/>
          <w:highlight w:val="none"/>
        </w:rPr>
        <w:t xml:space="preserve">19825846139</w:t>
      </w:r>
      <w:r/>
    </w:p>
    <w:p>
      <w:pPr>
        <w:ind w:left="0" w:right="0" w:firstLine="480"/>
        <w:jc w:val="both"/>
        <w:spacing w:before="0" w:after="0" w:line="558" w:lineRule="atLeast"/>
        <w:shd w:val="clear" w:color="auto" w:fill="ffffff" w:themeFill="background1"/>
        <w:rPr>
          <w:rFonts w:hint="default"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通讯地址：</w:t>
      </w:r>
      <w:r>
        <w:rPr>
          <w:rFonts w:hint="eastAsia" w:ascii="宋体" w:hAnsi="宋体" w:cs="宋体"/>
          <w:color w:val="auto"/>
          <w:sz w:val="24"/>
          <w:highlight w:val="none"/>
          <w:lang w:eastAsia="zh-CN"/>
        </w:rPr>
        <w:t xml:space="preserve">泗洪县和谐路7号</w:t>
      </w:r>
      <w:r>
        <w:rPr>
          <w:rFonts w:hint="eastAsia" w:ascii="宋体" w:hAnsi="宋体" w:cs="宋体"/>
          <w:color w:val="auto"/>
          <w:sz w:val="24"/>
          <w:highlight w:val="none"/>
          <w:lang w:val="en-US" w:eastAsia="zh-CN"/>
        </w:rPr>
        <w:t xml:space="preserve"> / </w:t>
      </w:r>
      <w:r>
        <w:rPr>
          <w:rFonts w:hint="eastAsia" w:ascii="宋体" w:hAnsi="宋体" w:cs="宋体"/>
          <w:color w:val="auto"/>
          <w:sz w:val="24"/>
          <w:szCs w:val="24"/>
          <w:highlight w:val="none"/>
          <w:lang w:eastAsia="zh-CN"/>
        </w:rPr>
        <w:t xml:space="preserve">泗洪县洪泽湖大街中央公馆63-202室</w:t>
      </w:r>
      <w:r/>
    </w:p>
    <w:p>
      <w:pPr>
        <w:ind w:left="0" w:right="0" w:firstLine="480"/>
        <w:jc w:val="both"/>
        <w:spacing w:before="0" w:after="0" w:line="558" w:lineRule="atLeast"/>
        <w:shd w:val="clear" w:color="auto" w:fill="ffffff" w:themeFill="background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28.5 以下情形的质疑不予受理</w:t>
      </w:r>
      <w:r/>
    </w:p>
    <w:p>
      <w:pPr>
        <w:ind w:left="0" w:right="0" w:firstLine="480"/>
        <w:jc w:val="both"/>
        <w:spacing w:before="0" w:after="0" w:line="558" w:lineRule="atLeast"/>
        <w:shd w:val="clear" w:color="auto" w:fill="ffffff" w:themeFill="background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28.5.1 内容不符合《政府采购质疑和投诉办法》第十二条规定的质疑。</w:t>
      </w:r>
      <w:r/>
    </w:p>
    <w:p>
      <w:pPr>
        <w:ind w:left="0" w:right="0" w:firstLine="480"/>
        <w:jc w:val="both"/>
        <w:spacing w:before="0" w:after="0" w:line="558" w:lineRule="atLeast"/>
        <w:shd w:val="clear" w:color="auto" w:fill="ffffff" w:themeFill="background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28.5.2 超出政府采购法定期限的质疑。</w:t>
      </w:r>
      <w:r/>
    </w:p>
    <w:p>
      <w:pPr>
        <w:ind w:left="0" w:right="0" w:firstLine="480"/>
        <w:jc w:val="both"/>
        <w:spacing w:before="0" w:after="0" w:line="558" w:lineRule="atLeast"/>
        <w:shd w:val="clear" w:color="auto" w:fill="ffffff" w:themeFill="background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28.5.3 以传真、电子邮件等方式递交的非原件形式的质疑。</w:t>
      </w:r>
      <w:r/>
    </w:p>
    <w:p>
      <w:pPr>
        <w:ind w:left="0" w:right="0" w:firstLine="480"/>
        <w:jc w:val="both"/>
        <w:spacing w:before="0" w:after="0" w:line="558" w:lineRule="atLeast"/>
        <w:shd w:val="clear" w:color="auto" w:fill="ffffff" w:themeFill="background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28.5.4 未参加磋商活动的供应商或在磋商活动中自身权益未受到损害的供应商所提出的质疑。</w:t>
      </w:r>
      <w:r/>
    </w:p>
    <w:p>
      <w:pPr>
        <w:ind w:left="0" w:right="0" w:firstLine="468"/>
        <w:jc w:val="both"/>
        <w:spacing w:before="0" w:after="0" w:line="558" w:lineRule="atLeast"/>
        <w:shd w:val="clear" w:color="auto" w:fill="ffffff" w:themeFill="background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68"/>
        <w:jc w:val="both"/>
        <w:spacing w:before="0" w:after="0" w:line="558" w:lineRule="atLeast"/>
        <w:shd w:val="clear" w:color="auto" w:fill="ffffff" w:themeFill="background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28.7质疑供应商对采购人、采购代理机构的答复不满意，或者采购人、采购代理机构未在规定时间内作出答复的，可以在答复期满后15个工作日内向同级财政部门提起投诉。</w:t>
      </w:r>
      <w:r/>
    </w:p>
    <w:p>
      <w:pPr>
        <w:ind w:firstLine="480"/>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center"/>
        <w:spacing w:line="500" w:lineRule="exact"/>
        <w:shd w:val="clear" w:color="auto" w:fill="ffffff" w:themeFill="background1"/>
        <w:rPr>
          <w:rFonts w:hint="eastAsia" w:ascii="宋体" w:hAnsi="宋体" w:eastAsia="宋体" w:cs="宋体"/>
          <w:b/>
          <w:color w:val="auto"/>
          <w:sz w:val="44"/>
          <w:szCs w:val="44"/>
          <w:highlight w:val="none"/>
        </w:rPr>
        <w:outlineLvl w:val="0"/>
      </w:pPr>
      <w:r/>
      <w:bookmarkStart w:id="90" w:name="_Toc21581"/>
      <w:r>
        <w:rPr>
          <w:rFonts w:hint="eastAsia" w:ascii="宋体" w:hAnsi="宋体" w:eastAsia="宋体" w:cs="宋体"/>
          <w:b/>
          <w:color w:val="auto"/>
          <w:sz w:val="44"/>
          <w:szCs w:val="44"/>
          <w:highlight w:val="none"/>
        </w:rPr>
        <w:t xml:space="preserve">第三章  </w:t>
      </w:r>
      <w:bookmarkEnd w:id="86"/>
      <w:r/>
      <w:bookmarkEnd w:id="87"/>
      <w:r/>
      <w:bookmarkEnd w:id="88"/>
      <w:r>
        <w:rPr>
          <w:rFonts w:hint="eastAsia" w:ascii="宋体" w:hAnsi="宋体" w:eastAsia="宋体" w:cs="宋体"/>
          <w:b/>
          <w:color w:val="auto"/>
          <w:sz w:val="44"/>
          <w:szCs w:val="44"/>
          <w:highlight w:val="none"/>
        </w:rPr>
        <w:t xml:space="preserve">评审方法与</w:t>
      </w:r>
      <w:bookmarkStart w:id="91" w:name="OLE_LINK9"/>
      <w:r>
        <w:rPr>
          <w:rFonts w:hint="eastAsia" w:ascii="宋体" w:hAnsi="宋体" w:eastAsia="宋体" w:cs="宋体"/>
          <w:b/>
          <w:color w:val="auto"/>
          <w:sz w:val="44"/>
          <w:szCs w:val="44"/>
          <w:highlight w:val="none"/>
        </w:rPr>
        <w:t xml:space="preserve">评审标准</w:t>
      </w:r>
      <w:bookmarkEnd w:id="89"/>
      <w:r/>
      <w:bookmarkEnd w:id="90"/>
      <w:r/>
      <w:bookmarkEnd w:id="91"/>
      <w:r/>
      <w:r/>
    </w:p>
    <w:p>
      <w:pPr>
        <w:ind w:firstLine="482"/>
        <w:jc w:val="left"/>
        <w:spacing w:line="480" w:lineRule="exact"/>
        <w:shd w:val="clear" w:color="auto" w:fill="ffffff" w:themeFill="background1"/>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一、资格审查</w:t>
      </w:r>
      <w:r/>
    </w:p>
    <w:p>
      <w:pPr>
        <w:ind w:firstLine="480"/>
        <w:jc w:val="left"/>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资格审查人员按照下列指标对各供应商的资格进行审查，未通过审查的为无效标，不参与评审。</w:t>
      </w:r>
      <w:r/>
    </w:p>
    <w:tbl>
      <w:tblPr>
        <w:tblStyle w:val="786"/>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shd w:val="clear" w:color="auto" w:fill="ffffff" w:themeFill="background1"/>
              <w:rPr>
                <w:rFonts w:hint="eastAsia" w:ascii="宋体" w:hAnsi="宋体" w:eastAsia="宋体" w:cs="宋体"/>
                <w:color w:val="auto"/>
                <w:highlight w:val="none"/>
              </w:rPr>
            </w:pPr>
            <w:r>
              <w:rPr>
                <w:rFonts w:hint="eastAsia" w:ascii="宋体" w:hAnsi="宋体" w:eastAsia="宋体" w:cs="宋体"/>
                <w:color w:val="auto"/>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shd w:val="clear" w:color="auto" w:fill="ffffff" w:themeFill="background1"/>
              <w:rPr>
                <w:rFonts w:hint="eastAsia" w:ascii="宋体" w:hAnsi="宋体" w:eastAsia="宋体" w:cs="宋体"/>
                <w:color w:val="auto"/>
                <w:highlight w:val="none"/>
              </w:rPr>
            </w:pPr>
            <w:r>
              <w:rPr>
                <w:rFonts w:hint="eastAsia" w:ascii="宋体" w:hAnsi="宋体" w:eastAsia="宋体" w:cs="宋体"/>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left"/>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left"/>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left"/>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tl w:val="0"/>
                <w:lang w:val="en-US" w:eastAsia="zh-CN"/>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left"/>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联合体响应</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left"/>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本项目不接受联合体响应</w:t>
            </w:r>
            <w:r/>
          </w:p>
        </w:tc>
      </w:tr>
    </w:tbl>
    <w:p>
      <w:pPr>
        <w:ind w:firstLine="482"/>
        <w:jc w:val="left"/>
        <w:spacing w:line="480" w:lineRule="exact"/>
        <w:shd w:val="clear" w:color="auto" w:fill="ffffff" w:themeFill="background1"/>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二、符合性审查</w:t>
      </w:r>
      <w:r/>
    </w:p>
    <w:p>
      <w:pPr>
        <w:ind w:firstLine="480"/>
        <w:jc w:val="left"/>
        <w:spacing w:line="48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磋商小组对符合资格的供应商的响应文件进行符合性审查，未通过审查的为无效标，不再参与评审。</w:t>
      </w:r>
      <w:r/>
    </w:p>
    <w:tbl>
      <w:tblPr>
        <w:tblStyle w:val="786"/>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left"/>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技术标准和要求</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left"/>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left"/>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符合磋商文件要求</w:t>
            </w:r>
            <w:r/>
          </w:p>
        </w:tc>
      </w:tr>
    </w:tbl>
    <w:p>
      <w:pPr>
        <w:numPr>
          <w:ilvl w:val="0"/>
          <w:numId w:val="5"/>
        </w:numPr>
        <w:ind w:firstLine="482"/>
        <w:jc w:val="left"/>
        <w:spacing w:line="480" w:lineRule="exact"/>
        <w:shd w:val="clear" w:color="auto" w:fill="ffffff" w:themeFill="background1"/>
        <w:rPr>
          <w:rFonts w:hint="eastAsia" w:ascii="宋体" w:hAnsi="宋体" w:eastAsia="宋体" w:cs="宋体"/>
          <w:b/>
          <w:color w:val="auto"/>
          <w:sz w:val="24"/>
          <w:highlight w:val="none"/>
        </w:rPr>
      </w:pPr>
      <w:r/>
      <w:bookmarkStart w:id="92" w:name="OLE_LINK12"/>
      <w:r>
        <w:rPr>
          <w:rFonts w:hint="eastAsia" w:ascii="宋体" w:hAnsi="宋体" w:eastAsia="宋体" w:cs="宋体"/>
          <w:b/>
          <w:color w:val="auto"/>
          <w:sz w:val="24"/>
          <w:highlight w:val="none"/>
        </w:rPr>
        <w:t xml:space="preserve">评审方法</w:t>
      </w:r>
      <w:bookmarkEnd w:id="92"/>
      <w:r/>
      <w:r/>
    </w:p>
    <w:p>
      <w:pPr>
        <w:ind w:firstLine="480"/>
        <w:jc w:val="left"/>
        <w:spacing w:line="480" w:lineRule="exact"/>
        <w:shd w:val="clear" w:color="auto" w:fill="ffffff" w:themeFill="background1"/>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（一）</w:t>
      </w:r>
      <w:r>
        <w:rPr>
          <w:rFonts w:hint="eastAsia" w:ascii="宋体" w:hAnsi="宋体" w:eastAsia="宋体" w:cs="宋体"/>
          <w:color w:val="auto"/>
          <w:sz w:val="24"/>
          <w:szCs w:val="28"/>
          <w:highlight w:val="none"/>
        </w:rPr>
        <w:t xml:space="preserve">评标办法：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firstLine="480"/>
        <w:jc w:val="left"/>
        <w:spacing w:line="480" w:lineRule="exact"/>
        <w:shd w:val="clear" w:color="auto" w:fill="ffffff" w:themeFill="background1"/>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磋商小组根据评审后</w:t>
      </w:r>
      <w:r>
        <w:rPr>
          <w:rFonts w:hint="eastAsia" w:ascii="宋体" w:hAnsi="宋体" w:eastAsia="宋体" w:cs="宋体"/>
          <w:color w:val="auto"/>
          <w:sz w:val="24"/>
          <w:szCs w:val="28"/>
          <w:highlight w:val="none"/>
          <w:lang w:val="en-US" w:eastAsia="zh-CN"/>
        </w:rPr>
        <w:t xml:space="preserve">供应商</w:t>
      </w:r>
      <w:r>
        <w:rPr>
          <w:rFonts w:hint="eastAsia" w:ascii="宋体" w:hAnsi="宋体" w:eastAsia="宋体" w:cs="宋体"/>
          <w:color w:val="auto"/>
          <w:sz w:val="24"/>
          <w:szCs w:val="28"/>
          <w:highlight w:val="none"/>
        </w:rPr>
        <w:t xml:space="preserve">排序推荐</w:t>
      </w:r>
      <w:r>
        <w:rPr>
          <w:rFonts w:hint="eastAsia" w:ascii="宋体" w:hAnsi="宋体" w:eastAsia="宋体" w:cs="宋体"/>
          <w:color w:val="auto"/>
          <w:sz w:val="24"/>
          <w:szCs w:val="28"/>
          <w:highlight w:val="none"/>
          <w:lang w:val="en-US" w:eastAsia="zh-CN"/>
        </w:rPr>
        <w:t xml:space="preserve">3名成交</w:t>
      </w:r>
      <w:r>
        <w:rPr>
          <w:rFonts w:hint="eastAsia" w:ascii="宋体" w:hAnsi="宋体" w:eastAsia="宋体" w:cs="宋体"/>
          <w:color w:val="auto"/>
          <w:sz w:val="24"/>
          <w:szCs w:val="28"/>
          <w:highlight w:val="none"/>
        </w:rPr>
        <w:t xml:space="preserve">候选人。</w:t>
      </w:r>
      <w:r>
        <w:rPr>
          <w:rFonts w:hint="eastAsia" w:ascii="宋体" w:hAnsi="宋体" w:eastAsia="宋体" w:cs="宋体"/>
          <w:color w:val="auto"/>
          <w:sz w:val="24"/>
          <w:szCs w:val="28"/>
          <w:highlight w:val="none"/>
          <w:lang w:val="en-US" w:eastAsia="zh-CN"/>
        </w:rPr>
        <w:t xml:space="preserve">响应</w:t>
      </w:r>
      <w:r>
        <w:rPr>
          <w:rFonts w:hint="eastAsia" w:ascii="宋体" w:hAnsi="宋体" w:eastAsia="宋体" w:cs="宋体"/>
          <w:color w:val="auto"/>
          <w:sz w:val="24"/>
          <w:szCs w:val="28"/>
          <w:highlight w:val="none"/>
        </w:rPr>
        <w:t xml:space="preserve">文件满足</w:t>
      </w:r>
      <w:r>
        <w:rPr>
          <w:rFonts w:hint="eastAsia" w:ascii="宋体" w:hAnsi="宋体" w:eastAsia="宋体" w:cs="宋体"/>
          <w:color w:val="auto"/>
          <w:sz w:val="24"/>
          <w:szCs w:val="28"/>
          <w:highlight w:val="none"/>
          <w:lang w:val="en-US" w:eastAsia="zh-CN"/>
        </w:rPr>
        <w:t xml:space="preserve">磋商</w:t>
      </w:r>
      <w:r>
        <w:rPr>
          <w:rFonts w:hint="eastAsia" w:ascii="宋体" w:hAnsi="宋体" w:eastAsia="宋体" w:cs="宋体"/>
          <w:color w:val="auto"/>
          <w:sz w:val="24"/>
          <w:szCs w:val="28"/>
          <w:highlight w:val="none"/>
        </w:rPr>
        <w:t xml:space="preserve">文件全部实质性要求，且评审后排序第一的</w:t>
      </w:r>
      <w:r>
        <w:rPr>
          <w:rFonts w:hint="eastAsia" w:ascii="宋体" w:hAnsi="宋体" w:eastAsia="宋体" w:cs="宋体"/>
          <w:color w:val="auto"/>
          <w:sz w:val="24"/>
          <w:szCs w:val="28"/>
          <w:highlight w:val="none"/>
          <w:lang w:val="en-US" w:eastAsia="zh-CN"/>
        </w:rPr>
        <w:t xml:space="preserve">供应商</w:t>
      </w:r>
      <w:r>
        <w:rPr>
          <w:rFonts w:hint="eastAsia" w:ascii="宋体" w:hAnsi="宋体" w:eastAsia="宋体" w:cs="宋体"/>
          <w:color w:val="auto"/>
          <w:sz w:val="24"/>
          <w:szCs w:val="28"/>
          <w:highlight w:val="none"/>
        </w:rPr>
        <w:t xml:space="preserve">为第一</w:t>
      </w:r>
      <w:r>
        <w:rPr>
          <w:rFonts w:hint="eastAsia" w:ascii="宋体" w:hAnsi="宋体" w:eastAsia="宋体" w:cs="宋体"/>
          <w:color w:val="auto"/>
          <w:sz w:val="24"/>
          <w:szCs w:val="28"/>
          <w:highlight w:val="none"/>
          <w:lang w:val="en-US" w:eastAsia="zh-CN"/>
        </w:rPr>
        <w:t xml:space="preserve">成交</w:t>
      </w:r>
      <w:r>
        <w:rPr>
          <w:rFonts w:hint="eastAsia" w:ascii="宋体" w:hAnsi="宋体" w:eastAsia="宋体" w:cs="宋体"/>
          <w:color w:val="auto"/>
          <w:sz w:val="24"/>
          <w:szCs w:val="28"/>
          <w:highlight w:val="none"/>
        </w:rPr>
        <w:t xml:space="preserve">候选人，依次类推。</w:t>
      </w:r>
      <w:r/>
    </w:p>
    <w:p>
      <w:pPr>
        <w:ind w:firstLine="480"/>
        <w:jc w:val="left"/>
        <w:spacing w:line="480" w:lineRule="exact"/>
        <w:shd w:val="clear" w:color="auto" w:fill="ffffff" w:themeFill="background1"/>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综合评分保留至小数点后两位。 </w:t>
      </w:r>
      <w:r/>
    </w:p>
    <w:p>
      <w:pPr>
        <w:numPr>
          <w:ilvl w:val="0"/>
          <w:numId w:val="6"/>
        </w:numPr>
        <w:ind w:firstLine="482"/>
        <w:jc w:val="left"/>
        <w:spacing w:line="480" w:lineRule="exact"/>
        <w:shd w:val="clear" w:color="auto" w:fill="ffffff" w:themeFill="background1"/>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详细评审。磋商小组按照竞争性磋商文件规定的评分标准，对各响应文件进行详细评审打分。磋商小组组长对各评审专家的打分情况进行复核无误后汇总。</w:t>
      </w:r>
      <w:r/>
    </w:p>
    <w:tbl>
      <w:tblPr>
        <w:tblStyle w:val="786"/>
        <w:tblW w:w="5190"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695"/>
        <w:gridCol w:w="992"/>
        <w:gridCol w:w="717"/>
        <w:gridCol w:w="6234"/>
      </w:tblGrid>
      <w:tr>
        <w:trPr>
          <w:trHeight w:val="501"/>
        </w:trPr>
        <w:tc>
          <w:tcPr>
            <w:gridSpan w:val="2"/>
            <w:tcBorders>
              <w:top w:val="single" w:color="auto" w:sz="6" w:space="0"/>
              <w:left w:val="single" w:color="auto" w:sz="6" w:space="0"/>
              <w:bottom w:val="single" w:color="auto" w:sz="6" w:space="0"/>
              <w:right w:val="single" w:color="auto" w:sz="6" w:space="0"/>
            </w:tcBorders>
            <w:tcW w:w="976" w:type="pct"/>
            <w:vAlign w:val="center"/>
            <w:textDirection w:val="lrTb"/>
            <w:noWrap w:val="false"/>
          </w:tcPr>
          <w:p>
            <w:pPr>
              <w:jc w:val="center"/>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评审因素</w:t>
            </w:r>
            <w:r/>
          </w:p>
        </w:tc>
        <w:tc>
          <w:tcPr>
            <w:tcBorders>
              <w:top w:val="single" w:color="auto" w:sz="6" w:space="0"/>
              <w:left w:val="single" w:color="auto" w:sz="6" w:space="0"/>
              <w:bottom w:val="single" w:color="auto" w:sz="6" w:space="0"/>
              <w:right w:val="single" w:color="auto" w:sz="6" w:space="0"/>
            </w:tcBorders>
            <w:tcW w:w="415" w:type="pct"/>
            <w:vAlign w:val="center"/>
            <w:textDirection w:val="lrTb"/>
            <w:noWrap w:val="false"/>
          </w:tcPr>
          <w:p>
            <w:pPr>
              <w:jc w:val="center"/>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分数</w:t>
            </w:r>
            <w:r/>
          </w:p>
        </w:tc>
        <w:tc>
          <w:tcPr>
            <w:tcBorders>
              <w:top w:val="single" w:color="auto" w:sz="6" w:space="0"/>
              <w:left w:val="single" w:color="auto" w:sz="6" w:space="0"/>
              <w:bottom w:val="single" w:color="auto" w:sz="6" w:space="0"/>
              <w:right w:val="single" w:color="auto" w:sz="6" w:space="0"/>
            </w:tcBorders>
            <w:tcW w:w="3607" w:type="pct"/>
            <w:vAlign w:val="center"/>
            <w:textDirection w:val="lrTb"/>
            <w:noWrap w:val="false"/>
          </w:tcPr>
          <w:p>
            <w:pPr>
              <w:jc w:val="center"/>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评审标准</w:t>
            </w:r>
            <w:r/>
          </w:p>
        </w:tc>
      </w:tr>
      <w:tr>
        <w:trPr/>
        <w:tc>
          <w:tcPr>
            <w:tcBorders>
              <w:top w:val="single" w:color="auto" w:sz="6" w:space="0"/>
              <w:left w:val="single" w:color="auto" w:sz="6" w:space="0"/>
              <w:bottom w:val="single" w:color="auto" w:sz="6" w:space="0"/>
              <w:right w:val="single" w:color="auto" w:sz="6" w:space="0"/>
            </w:tcBorders>
            <w:tcW w:w="402" w:type="pct"/>
            <w:vAlign w:val="center"/>
            <w:vMerge w:val="restart"/>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技术响应</w:t>
            </w:r>
            <w:r/>
          </w:p>
        </w:tc>
        <w:tc>
          <w:tcPr>
            <w:tcBorders>
              <w:top w:val="single" w:color="auto" w:sz="6" w:space="0"/>
              <w:left w:val="single" w:color="auto" w:sz="6" w:space="0"/>
              <w:bottom w:val="single" w:color="auto" w:sz="6" w:space="0"/>
              <w:right w:val="single" w:color="auto" w:sz="6" w:space="0"/>
            </w:tcBorders>
            <w:tcW w:w="573" w:type="pct"/>
            <w:vAlign w:val="center"/>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企业</w:t>
            </w:r>
            <w:r>
              <w:rPr>
                <w:rFonts w:hint="eastAsia"/>
                <w:color w:val="auto"/>
                <w:sz w:val="21"/>
                <w:szCs w:val="22"/>
                <w:highlight w:val="none"/>
                <w:rtl w:val="0"/>
                <w:lang w:val="en-US" w:eastAsia="zh-CN" w:bidi="ar-SA"/>
              </w:rPr>
              <w:t xml:space="preserve">核心</w:t>
            </w:r>
            <w:r>
              <w:rPr>
                <w:rFonts w:ascii="Calibri" w:hAnsi="Calibri"/>
                <w:color w:val="auto"/>
                <w:sz w:val="21"/>
                <w:szCs w:val="22"/>
                <w:highlight w:val="none"/>
                <w:rtl w:val="0"/>
                <w:lang w:val="en-US" w:eastAsia="zh-CN" w:bidi="ar-SA"/>
              </w:rPr>
              <w:t xml:space="preserve">偿付能力</w:t>
            </w:r>
            <w:r/>
          </w:p>
        </w:tc>
        <w:tc>
          <w:tcPr>
            <w:tcBorders>
              <w:top w:val="single" w:color="auto" w:sz="6" w:space="0"/>
              <w:left w:val="single" w:color="auto" w:sz="6" w:space="0"/>
              <w:bottom w:val="single" w:color="auto" w:sz="6" w:space="0"/>
              <w:right w:val="single" w:color="auto" w:sz="6" w:space="0"/>
            </w:tcBorders>
            <w:tcW w:w="415" w:type="pct"/>
            <w:vAlign w:val="center"/>
            <w:textDirection w:val="lrTb"/>
            <w:noWrap w:val="false"/>
          </w:tcPr>
          <w:p>
            <w:pPr>
              <w:jc w:val="center"/>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1</w:t>
            </w:r>
            <w:r>
              <w:rPr>
                <w:rFonts w:hint="eastAsia"/>
                <w:color w:val="auto"/>
                <w:sz w:val="21"/>
                <w:szCs w:val="22"/>
                <w:highlight w:val="none"/>
                <w:rtl w:val="0"/>
                <w:lang w:val="en-US" w:eastAsia="zh-CN" w:bidi="ar-SA"/>
              </w:rPr>
              <w:t xml:space="preserve">2</w:t>
            </w:r>
            <w:r>
              <w:rPr>
                <w:rFonts w:ascii="Calibri" w:hAnsi="Calibri"/>
                <w:color w:val="auto"/>
                <w:sz w:val="21"/>
                <w:szCs w:val="22"/>
                <w:highlight w:val="none"/>
                <w:rtl w:val="0"/>
                <w:lang w:val="en-US" w:eastAsia="zh-CN" w:bidi="ar-SA"/>
              </w:rPr>
              <w:t xml:space="preserve">.00</w:t>
            </w:r>
            <w:r/>
          </w:p>
        </w:tc>
        <w:tc>
          <w:tcPr>
            <w:tcBorders>
              <w:top w:val="single" w:color="auto" w:sz="6" w:space="0"/>
              <w:left w:val="single" w:color="auto" w:sz="6" w:space="0"/>
              <w:bottom w:val="single" w:color="auto" w:sz="6" w:space="0"/>
              <w:right w:val="single" w:color="auto" w:sz="6" w:space="0"/>
            </w:tcBorders>
            <w:tcW w:w="3607" w:type="pct"/>
            <w:vAlign w:val="center"/>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hint="eastAsia"/>
                <w:color w:val="auto"/>
                <w:sz w:val="21"/>
                <w:szCs w:val="22"/>
                <w:highlight w:val="none"/>
                <w:rtl w:val="0"/>
                <w:lang w:val="en-US" w:eastAsia="zh-CN" w:bidi="ar-SA"/>
              </w:rPr>
              <w:t xml:space="preserve">供应商总公司</w:t>
            </w:r>
            <w:r>
              <w:rPr>
                <w:rFonts w:ascii="Calibri" w:hAnsi="Calibri"/>
                <w:color w:val="auto"/>
                <w:sz w:val="21"/>
                <w:szCs w:val="22"/>
                <w:highlight w:val="none"/>
                <w:rtl w:val="0"/>
                <w:lang w:val="en-US" w:eastAsia="zh-CN" w:bidi="ar-SA"/>
              </w:rPr>
              <w:t xml:space="preserve">经审计的202</w:t>
            </w:r>
            <w:r>
              <w:rPr>
                <w:rFonts w:hint="eastAsia"/>
                <w:color w:val="auto"/>
                <w:sz w:val="21"/>
                <w:szCs w:val="22"/>
                <w:highlight w:val="none"/>
                <w:rtl w:val="0"/>
                <w:lang w:val="en-US" w:eastAsia="zh-CN" w:bidi="ar-SA"/>
              </w:rPr>
              <w:t xml:space="preserve">4</w:t>
            </w:r>
            <w:r>
              <w:rPr>
                <w:rFonts w:ascii="Calibri" w:hAnsi="Calibri"/>
                <w:color w:val="auto"/>
                <w:sz w:val="21"/>
                <w:szCs w:val="22"/>
                <w:highlight w:val="none"/>
                <w:rtl w:val="0"/>
                <w:lang w:val="en-US" w:eastAsia="zh-CN" w:bidi="ar-SA"/>
              </w:rPr>
              <w:t xml:space="preserve">年度核心偿付能力充足率≥</w:t>
            </w:r>
            <w:r>
              <w:rPr>
                <w:rFonts w:hint="eastAsia"/>
                <w:color w:val="auto"/>
                <w:sz w:val="21"/>
                <w:szCs w:val="22"/>
                <w:highlight w:val="none"/>
                <w:rtl w:val="0"/>
                <w:lang w:val="en-US" w:eastAsia="zh-CN" w:bidi="ar-SA"/>
              </w:rPr>
              <w:t xml:space="preserve">200</w:t>
            </w:r>
            <w:r>
              <w:rPr>
                <w:rFonts w:ascii="Calibri" w:hAnsi="Calibri"/>
                <w:color w:val="auto"/>
                <w:sz w:val="21"/>
                <w:szCs w:val="22"/>
                <w:highlight w:val="none"/>
                <w:rtl w:val="0"/>
                <w:lang w:val="en-US" w:eastAsia="zh-CN" w:bidi="ar-SA"/>
              </w:rPr>
              <w:t xml:space="preserve">%的，得</w:t>
            </w:r>
            <w:r>
              <w:rPr>
                <w:rFonts w:hint="eastAsia"/>
                <w:color w:val="auto"/>
                <w:sz w:val="21"/>
                <w:szCs w:val="22"/>
                <w:highlight w:val="none"/>
                <w:rtl w:val="0"/>
                <w:lang w:val="en-US" w:eastAsia="zh-CN" w:bidi="ar-SA"/>
              </w:rPr>
              <w:t xml:space="preserve">12</w:t>
            </w:r>
            <w:r>
              <w:rPr>
                <w:rFonts w:ascii="Calibri" w:hAnsi="Calibri"/>
                <w:color w:val="auto"/>
                <w:sz w:val="21"/>
                <w:szCs w:val="22"/>
                <w:highlight w:val="none"/>
                <w:rtl w:val="0"/>
                <w:lang w:val="en-US" w:eastAsia="zh-CN" w:bidi="ar-SA"/>
              </w:rPr>
              <w:t xml:space="preserve">分；</w:t>
            </w:r>
            <w:r>
              <w:rPr>
                <w:rFonts w:hint="eastAsia"/>
                <w:color w:val="auto"/>
                <w:sz w:val="21"/>
                <w:szCs w:val="22"/>
                <w:highlight w:val="none"/>
                <w:rtl w:val="0"/>
                <w:lang w:val="en-US" w:eastAsia="zh-CN" w:bidi="ar-SA"/>
              </w:rPr>
              <w:t xml:space="preserve">180</w:t>
            </w:r>
            <w:r>
              <w:rPr>
                <w:rFonts w:ascii="Calibri" w:hAnsi="Calibri"/>
                <w:color w:val="auto"/>
                <w:sz w:val="21"/>
                <w:szCs w:val="22"/>
                <w:highlight w:val="none"/>
                <w:rtl w:val="0"/>
                <w:lang w:val="en-US" w:eastAsia="zh-CN" w:bidi="ar-SA"/>
              </w:rPr>
              <w:t xml:space="preserve">%≤核心偿付能力充足率＜</w:t>
            </w:r>
            <w:r>
              <w:rPr>
                <w:rFonts w:hint="eastAsia"/>
                <w:color w:val="auto"/>
                <w:sz w:val="21"/>
                <w:szCs w:val="22"/>
                <w:highlight w:val="none"/>
                <w:rtl w:val="0"/>
                <w:lang w:val="en-US" w:eastAsia="zh-CN" w:bidi="ar-SA"/>
              </w:rPr>
              <w:t xml:space="preserve">200</w:t>
            </w:r>
            <w:r>
              <w:rPr>
                <w:rFonts w:ascii="Calibri" w:hAnsi="Calibri"/>
                <w:color w:val="auto"/>
                <w:sz w:val="21"/>
                <w:szCs w:val="22"/>
                <w:highlight w:val="none"/>
                <w:rtl w:val="0"/>
                <w:lang w:val="en-US" w:eastAsia="zh-CN" w:bidi="ar-SA"/>
              </w:rPr>
              <w:t xml:space="preserve">%，得</w:t>
            </w:r>
            <w:r>
              <w:rPr>
                <w:rFonts w:hint="eastAsia"/>
                <w:color w:val="auto"/>
                <w:sz w:val="21"/>
                <w:szCs w:val="22"/>
                <w:highlight w:val="none"/>
                <w:rtl w:val="0"/>
                <w:lang w:val="en-US" w:eastAsia="zh-CN" w:bidi="ar-SA"/>
              </w:rPr>
              <w:t xml:space="preserve">10</w:t>
            </w:r>
            <w:r>
              <w:rPr>
                <w:rFonts w:ascii="Calibri" w:hAnsi="Calibri"/>
                <w:color w:val="auto"/>
                <w:sz w:val="21"/>
                <w:szCs w:val="22"/>
                <w:highlight w:val="none"/>
                <w:rtl w:val="0"/>
                <w:lang w:val="en-US" w:eastAsia="zh-CN" w:bidi="ar-SA"/>
              </w:rPr>
              <w:t xml:space="preserve">分；</w:t>
            </w:r>
            <w:r>
              <w:rPr>
                <w:rFonts w:hint="eastAsia"/>
                <w:color w:val="auto"/>
                <w:sz w:val="21"/>
                <w:szCs w:val="22"/>
                <w:highlight w:val="none"/>
                <w:rtl w:val="0"/>
                <w:lang w:val="en-US" w:eastAsia="zh-CN" w:bidi="ar-SA"/>
              </w:rPr>
              <w:t xml:space="preserve">150</w:t>
            </w:r>
            <w:r>
              <w:rPr>
                <w:rFonts w:ascii="Calibri" w:hAnsi="Calibri"/>
                <w:color w:val="auto"/>
                <w:sz w:val="21"/>
                <w:szCs w:val="22"/>
                <w:highlight w:val="none"/>
                <w:rtl w:val="0"/>
                <w:lang w:val="en-US" w:eastAsia="zh-CN" w:bidi="ar-SA"/>
              </w:rPr>
              <w:t xml:space="preserve">%≤核心偿付能力充足率＜</w:t>
            </w:r>
            <w:r>
              <w:rPr>
                <w:rFonts w:hint="eastAsia"/>
                <w:color w:val="auto"/>
                <w:sz w:val="21"/>
                <w:szCs w:val="22"/>
                <w:highlight w:val="none"/>
                <w:rtl w:val="0"/>
                <w:lang w:val="en-US" w:eastAsia="zh-CN" w:bidi="ar-SA"/>
              </w:rPr>
              <w:t xml:space="preserve">180</w:t>
            </w:r>
            <w:r>
              <w:rPr>
                <w:rFonts w:ascii="Calibri" w:hAnsi="Calibri"/>
                <w:color w:val="auto"/>
                <w:sz w:val="21"/>
                <w:szCs w:val="22"/>
                <w:highlight w:val="none"/>
                <w:rtl w:val="0"/>
                <w:lang w:val="en-US" w:eastAsia="zh-CN" w:bidi="ar-SA"/>
              </w:rPr>
              <w:t xml:space="preserve">%，得</w:t>
            </w:r>
            <w:r>
              <w:rPr>
                <w:rFonts w:hint="eastAsia"/>
                <w:color w:val="auto"/>
                <w:sz w:val="21"/>
                <w:szCs w:val="22"/>
                <w:highlight w:val="none"/>
                <w:rtl w:val="0"/>
                <w:lang w:val="en-US" w:eastAsia="zh-CN" w:bidi="ar-SA"/>
              </w:rPr>
              <w:t xml:space="preserve">8</w:t>
            </w:r>
            <w:r>
              <w:rPr>
                <w:rFonts w:ascii="Calibri" w:hAnsi="Calibri"/>
                <w:color w:val="auto"/>
                <w:sz w:val="21"/>
                <w:szCs w:val="22"/>
                <w:highlight w:val="none"/>
                <w:rtl w:val="0"/>
                <w:lang w:val="en-US" w:eastAsia="zh-CN" w:bidi="ar-SA"/>
              </w:rPr>
              <w:t xml:space="preserve">分；1</w:t>
            </w:r>
            <w:r>
              <w:rPr>
                <w:rFonts w:hint="eastAsia"/>
                <w:color w:val="auto"/>
                <w:sz w:val="21"/>
                <w:szCs w:val="22"/>
                <w:highlight w:val="none"/>
                <w:rtl w:val="0"/>
                <w:lang w:val="en-US" w:eastAsia="zh-CN" w:bidi="ar-SA"/>
              </w:rPr>
              <w:t xml:space="preserve">30</w:t>
            </w:r>
            <w:r>
              <w:rPr>
                <w:rFonts w:ascii="Calibri" w:hAnsi="Calibri"/>
                <w:color w:val="auto"/>
                <w:sz w:val="21"/>
                <w:szCs w:val="22"/>
                <w:highlight w:val="none"/>
                <w:rtl w:val="0"/>
                <w:lang w:val="en-US" w:eastAsia="zh-CN" w:bidi="ar-SA"/>
              </w:rPr>
              <w:t xml:space="preserve">%≤核心偿付能力充足率＜</w:t>
            </w:r>
            <w:r>
              <w:rPr>
                <w:rFonts w:hint="eastAsia"/>
                <w:color w:val="auto"/>
                <w:sz w:val="21"/>
                <w:szCs w:val="22"/>
                <w:highlight w:val="none"/>
                <w:rtl w:val="0"/>
                <w:lang w:val="en-US" w:eastAsia="zh-CN" w:bidi="ar-SA"/>
              </w:rPr>
              <w:t xml:space="preserve">150</w:t>
            </w:r>
            <w:r>
              <w:rPr>
                <w:rFonts w:ascii="Calibri" w:hAnsi="Calibri"/>
                <w:color w:val="auto"/>
                <w:sz w:val="21"/>
                <w:szCs w:val="22"/>
                <w:highlight w:val="none"/>
                <w:rtl w:val="0"/>
                <w:lang w:val="en-US" w:eastAsia="zh-CN" w:bidi="ar-SA"/>
              </w:rPr>
              <w:t xml:space="preserve">%，得</w:t>
            </w:r>
            <w:r>
              <w:rPr>
                <w:rFonts w:hint="eastAsia"/>
                <w:color w:val="auto"/>
                <w:sz w:val="21"/>
                <w:szCs w:val="22"/>
                <w:highlight w:val="none"/>
                <w:rtl w:val="0"/>
                <w:lang w:val="en-US" w:eastAsia="zh-CN" w:bidi="ar-SA"/>
              </w:rPr>
              <w:t xml:space="preserve">6</w:t>
            </w:r>
            <w:r>
              <w:rPr>
                <w:rFonts w:ascii="Calibri" w:hAnsi="Calibri"/>
                <w:color w:val="auto"/>
                <w:sz w:val="21"/>
                <w:szCs w:val="22"/>
                <w:highlight w:val="none"/>
                <w:rtl w:val="0"/>
                <w:lang w:val="en-US" w:eastAsia="zh-CN" w:bidi="ar-SA"/>
              </w:rPr>
              <w:t xml:space="preserve">分；1</w:t>
            </w:r>
            <w:r>
              <w:rPr>
                <w:rFonts w:hint="eastAsia"/>
                <w:color w:val="auto"/>
                <w:sz w:val="21"/>
                <w:szCs w:val="22"/>
                <w:highlight w:val="none"/>
                <w:rtl w:val="0"/>
                <w:lang w:val="en-US" w:eastAsia="zh-CN" w:bidi="ar-SA"/>
              </w:rPr>
              <w:t xml:space="preserve">00</w:t>
            </w:r>
            <w:r>
              <w:rPr>
                <w:rFonts w:ascii="Calibri" w:hAnsi="Calibri"/>
                <w:color w:val="auto"/>
                <w:sz w:val="21"/>
                <w:szCs w:val="22"/>
                <w:highlight w:val="none"/>
                <w:rtl w:val="0"/>
                <w:lang w:val="en-US" w:eastAsia="zh-CN" w:bidi="ar-SA"/>
              </w:rPr>
              <w:t xml:space="preserve">%≤核心偿付能力充足率＜</w:t>
            </w:r>
            <w:r>
              <w:rPr>
                <w:rFonts w:hint="eastAsia"/>
                <w:color w:val="auto"/>
                <w:sz w:val="21"/>
                <w:szCs w:val="22"/>
                <w:highlight w:val="none"/>
                <w:rtl w:val="0"/>
                <w:lang w:val="en-US" w:eastAsia="zh-CN" w:bidi="ar-SA"/>
              </w:rPr>
              <w:t xml:space="preserve">130</w:t>
            </w:r>
            <w:r>
              <w:rPr>
                <w:rFonts w:ascii="Calibri" w:hAnsi="Calibri"/>
                <w:color w:val="auto"/>
                <w:sz w:val="21"/>
                <w:szCs w:val="22"/>
                <w:highlight w:val="none"/>
                <w:rtl w:val="0"/>
                <w:lang w:val="en-US" w:eastAsia="zh-CN" w:bidi="ar-SA"/>
              </w:rPr>
              <w:t xml:space="preserve">%，得</w:t>
            </w:r>
            <w:r>
              <w:rPr>
                <w:rFonts w:hint="eastAsia"/>
                <w:color w:val="auto"/>
                <w:sz w:val="21"/>
                <w:szCs w:val="22"/>
                <w:highlight w:val="none"/>
                <w:rtl w:val="0"/>
                <w:lang w:val="en-US" w:eastAsia="zh-CN" w:bidi="ar-SA"/>
              </w:rPr>
              <w:t xml:space="preserve">4</w:t>
            </w:r>
            <w:r>
              <w:rPr>
                <w:rFonts w:ascii="Calibri" w:hAnsi="Calibri"/>
                <w:color w:val="auto"/>
                <w:sz w:val="21"/>
                <w:szCs w:val="22"/>
                <w:highlight w:val="none"/>
                <w:rtl w:val="0"/>
                <w:lang w:val="en-US" w:eastAsia="zh-CN" w:bidi="ar-SA"/>
              </w:rPr>
              <w:t xml:space="preserve">分；</w:t>
            </w:r>
            <w:r>
              <w:rPr>
                <w:rFonts w:hint="eastAsia"/>
                <w:color w:val="auto"/>
                <w:sz w:val="21"/>
                <w:szCs w:val="22"/>
                <w:highlight w:val="none"/>
                <w:rtl w:val="0"/>
                <w:lang w:val="en-US" w:eastAsia="zh-CN" w:bidi="ar-SA"/>
              </w:rPr>
              <w:t xml:space="preserve">50%</w:t>
            </w:r>
            <w:r>
              <w:rPr>
                <w:rFonts w:ascii="Calibri" w:hAnsi="Calibri"/>
                <w:color w:val="auto"/>
                <w:sz w:val="21"/>
                <w:szCs w:val="22"/>
                <w:highlight w:val="none"/>
                <w:rtl w:val="0"/>
                <w:lang w:val="en-US" w:eastAsia="zh-CN" w:bidi="ar-SA"/>
              </w:rPr>
              <w:t xml:space="preserve">≤核心偿付能力充足率＜</w:t>
            </w:r>
            <w:r>
              <w:rPr>
                <w:rFonts w:hint="eastAsia"/>
                <w:color w:val="auto"/>
                <w:sz w:val="21"/>
                <w:szCs w:val="22"/>
                <w:highlight w:val="none"/>
                <w:rtl w:val="0"/>
                <w:lang w:val="en-US" w:eastAsia="zh-CN" w:bidi="ar-SA"/>
              </w:rPr>
              <w:t xml:space="preserve">100</w:t>
            </w:r>
            <w:r>
              <w:rPr>
                <w:rFonts w:ascii="Calibri" w:hAnsi="Calibri"/>
                <w:color w:val="auto"/>
                <w:sz w:val="21"/>
                <w:szCs w:val="22"/>
                <w:highlight w:val="none"/>
                <w:rtl w:val="0"/>
                <w:lang w:val="en-US" w:eastAsia="zh-CN" w:bidi="ar-SA"/>
              </w:rPr>
              <w:t xml:space="preserve">%</w:t>
            </w:r>
            <w:r>
              <w:rPr>
                <w:rFonts w:hint="eastAsia"/>
                <w:color w:val="auto"/>
                <w:sz w:val="21"/>
                <w:szCs w:val="22"/>
                <w:highlight w:val="none"/>
                <w:rtl w:val="0"/>
                <w:lang w:val="en-US" w:eastAsia="zh-CN" w:bidi="ar-SA"/>
              </w:rPr>
              <w:t xml:space="preserve">，得2分</w:t>
            </w:r>
            <w:r>
              <w:rPr>
                <w:rFonts w:ascii="Calibri" w:hAnsi="Calibri"/>
                <w:color w:val="auto"/>
                <w:sz w:val="21"/>
                <w:szCs w:val="22"/>
                <w:highlight w:val="none"/>
                <w:rtl w:val="0"/>
                <w:lang w:val="en-US" w:eastAsia="zh-CN" w:bidi="ar-SA"/>
              </w:rPr>
              <w:t xml:space="preserve">；核心偿付能力充足率＜</w:t>
            </w:r>
            <w:r>
              <w:rPr>
                <w:rFonts w:hint="eastAsia"/>
                <w:color w:val="auto"/>
                <w:sz w:val="21"/>
                <w:szCs w:val="22"/>
                <w:highlight w:val="none"/>
                <w:rtl w:val="0"/>
                <w:lang w:val="en-US" w:eastAsia="zh-CN" w:bidi="ar-SA"/>
              </w:rPr>
              <w:t xml:space="preserve">50</w:t>
            </w:r>
            <w:r>
              <w:rPr>
                <w:rFonts w:ascii="Calibri" w:hAnsi="Calibri"/>
                <w:color w:val="auto"/>
                <w:sz w:val="21"/>
                <w:szCs w:val="22"/>
                <w:highlight w:val="none"/>
                <w:rtl w:val="0"/>
                <w:lang w:val="en-US" w:eastAsia="zh-CN" w:bidi="ar-SA"/>
              </w:rPr>
              <w:t xml:space="preserve">%，不得分。注：须提供</w:t>
            </w:r>
            <w:r>
              <w:rPr>
                <w:rFonts w:hint="eastAsia"/>
                <w:color w:val="auto"/>
                <w:sz w:val="21"/>
                <w:szCs w:val="22"/>
                <w:highlight w:val="none"/>
                <w:rtl w:val="0"/>
                <w:lang w:val="en-US" w:eastAsia="zh-CN" w:bidi="ar-SA"/>
              </w:rPr>
              <w:t xml:space="preserve">供应商</w:t>
            </w:r>
            <w:r>
              <w:rPr>
                <w:rFonts w:ascii="Calibri" w:hAnsi="Calibri"/>
                <w:color w:val="auto"/>
                <w:sz w:val="21"/>
                <w:szCs w:val="22"/>
                <w:highlight w:val="none"/>
                <w:rtl w:val="0"/>
                <w:lang w:val="en-US" w:eastAsia="zh-CN" w:bidi="ar-SA"/>
              </w:rPr>
              <w:t xml:space="preserve">总公司经审计的202</w:t>
            </w:r>
            <w:r>
              <w:rPr>
                <w:rFonts w:hint="eastAsia"/>
                <w:color w:val="auto"/>
                <w:sz w:val="21"/>
                <w:szCs w:val="22"/>
                <w:highlight w:val="none"/>
                <w:rtl w:val="0"/>
                <w:lang w:val="en-US" w:eastAsia="zh-CN" w:bidi="ar-SA"/>
              </w:rPr>
              <w:t xml:space="preserve">4</w:t>
            </w:r>
            <w:r>
              <w:rPr>
                <w:rFonts w:ascii="Calibri" w:hAnsi="Calibri"/>
                <w:color w:val="auto"/>
                <w:sz w:val="21"/>
                <w:szCs w:val="22"/>
                <w:highlight w:val="none"/>
                <w:rtl w:val="0"/>
                <w:lang w:val="en-US" w:eastAsia="zh-CN" w:bidi="ar-SA"/>
              </w:rPr>
              <w:t xml:space="preserve">年度核心偿付能力报告电子件并加盖</w:t>
            </w:r>
            <w:r>
              <w:rPr>
                <w:rFonts w:hint="eastAsia"/>
                <w:color w:val="auto"/>
                <w:sz w:val="21"/>
                <w:szCs w:val="22"/>
                <w:highlight w:val="none"/>
                <w:rtl w:val="0"/>
                <w:lang w:val="en-US" w:eastAsia="zh-CN" w:bidi="ar-SA"/>
              </w:rPr>
              <w:t xml:space="preserve">供应商</w:t>
            </w:r>
            <w:r>
              <w:rPr>
                <w:rFonts w:ascii="Calibri" w:hAnsi="Calibri"/>
                <w:color w:val="auto"/>
                <w:sz w:val="21"/>
                <w:szCs w:val="22"/>
                <w:highlight w:val="none"/>
                <w:rtl w:val="0"/>
                <w:lang w:val="en-US" w:eastAsia="zh-CN" w:bidi="ar-SA"/>
              </w:rPr>
              <w:t xml:space="preserve">公章，否则不得分。</w:t>
            </w:r>
            <w:r/>
          </w:p>
        </w:tc>
      </w:tr>
      <w:tr>
        <w:trPr/>
        <w:tc>
          <w:tcPr>
            <w:tcBorders>
              <w:top w:val="single" w:color="auto" w:sz="6" w:space="0"/>
              <w:left w:val="single" w:color="auto" w:sz="6" w:space="0"/>
              <w:bottom w:val="single" w:color="auto" w:sz="6" w:space="0"/>
              <w:right w:val="single" w:color="auto" w:sz="6" w:space="0"/>
            </w:tcBorders>
            <w:tcW w:w="402" w:type="pct"/>
            <w:vAlign w:val="center"/>
            <w:vMerge w:val="continue"/>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573" w:type="pct"/>
            <w:vAlign w:val="center"/>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就近服务网点</w:t>
            </w:r>
            <w:r/>
          </w:p>
        </w:tc>
        <w:tc>
          <w:tcPr>
            <w:tcBorders>
              <w:top w:val="single" w:color="auto" w:sz="6" w:space="0"/>
              <w:left w:val="single" w:color="auto" w:sz="6" w:space="0"/>
              <w:bottom w:val="single" w:color="auto" w:sz="6" w:space="0"/>
              <w:right w:val="single" w:color="auto" w:sz="6" w:space="0"/>
            </w:tcBorders>
            <w:tcW w:w="415" w:type="pct"/>
            <w:vAlign w:val="center"/>
            <w:textDirection w:val="lrTb"/>
            <w:noWrap w:val="false"/>
          </w:tcPr>
          <w:p>
            <w:pPr>
              <w:jc w:val="center"/>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9.00</w:t>
            </w:r>
            <w:r/>
          </w:p>
        </w:tc>
        <w:tc>
          <w:tcPr>
            <w:tcBorders>
              <w:top w:val="single" w:color="auto" w:sz="6" w:space="0"/>
              <w:left w:val="single" w:color="auto" w:sz="6" w:space="0"/>
              <w:bottom w:val="single" w:color="auto" w:sz="6" w:space="0"/>
              <w:right w:val="single" w:color="auto" w:sz="6" w:space="0"/>
            </w:tcBorders>
            <w:tcW w:w="3607" w:type="pct"/>
            <w:vAlign w:val="center"/>
            <w:textDirection w:val="lrTb"/>
            <w:noWrap w:val="false"/>
          </w:tcPr>
          <w:p>
            <w:pPr>
              <w:jc w:val="left"/>
              <w:spacing w:after="0" w:afterAutospacing="0"/>
              <w:widowControl w:val="off"/>
              <w:rPr>
                <w:rFonts w:ascii="Calibri" w:hAnsi="Calibri"/>
                <w:color w:val="auto"/>
                <w:sz w:val="21"/>
                <w:szCs w:val="22"/>
                <w:highlight w:val="none"/>
                <w:rtl w:val="0"/>
                <w:lang w:val="en-US" w:eastAsia="zh-CN" w:bidi="ar-SA"/>
              </w:rPr>
            </w:pPr>
            <w:r>
              <w:rPr>
                <w:rFonts w:hint="eastAsia"/>
                <w:color w:val="auto"/>
                <w:sz w:val="21"/>
                <w:szCs w:val="22"/>
                <w:highlight w:val="none"/>
                <w:rtl w:val="0"/>
                <w:lang w:val="en-US" w:eastAsia="zh-CN" w:bidi="ar-SA"/>
              </w:rPr>
              <w:t xml:space="preserve">供应商</w:t>
            </w:r>
            <w:r>
              <w:rPr>
                <w:rFonts w:ascii="Calibri" w:hAnsi="Calibri"/>
                <w:color w:val="auto"/>
                <w:sz w:val="21"/>
                <w:szCs w:val="22"/>
                <w:highlight w:val="none"/>
                <w:rtl w:val="0"/>
                <w:lang w:val="en-US" w:eastAsia="zh-CN" w:bidi="ar-SA"/>
              </w:rPr>
              <w:t xml:space="preserve">为更好服务好本项目，便捷残疾人就近申请理赔，</w:t>
            </w:r>
            <w:r>
              <w:rPr>
                <w:rFonts w:hint="eastAsia"/>
                <w:color w:val="auto"/>
                <w:sz w:val="21"/>
                <w:szCs w:val="22"/>
                <w:highlight w:val="none"/>
                <w:rtl w:val="0"/>
                <w:lang w:val="en-US" w:eastAsia="zh-CN" w:bidi="ar-SA"/>
              </w:rPr>
              <w:t xml:space="preserve">供应商</w:t>
            </w:r>
            <w:r>
              <w:rPr>
                <w:rFonts w:ascii="Calibri" w:hAnsi="Calibri"/>
                <w:color w:val="auto"/>
                <w:sz w:val="21"/>
                <w:szCs w:val="22"/>
                <w:highlight w:val="none"/>
                <w:rtl w:val="0"/>
                <w:lang w:val="en-US" w:eastAsia="zh-CN" w:bidi="ar-SA"/>
              </w:rPr>
              <w:t xml:space="preserve">在本项目服务区域设有分支机构和乡镇</w:t>
            </w:r>
            <w:r>
              <w:rPr>
                <w:rFonts w:ascii="Calibri" w:hAnsi="Calibri"/>
                <w:color w:val="auto"/>
                <w:sz w:val="21"/>
                <w:szCs w:val="22"/>
                <w:highlight w:val="none"/>
                <w:rtl w:val="0"/>
                <w:lang w:val="en-US" w:eastAsia="zh-CN" w:bidi="ar-SA"/>
              </w:rPr>
              <w:t xml:space="preserve">（街道）</w:t>
            </w:r>
            <w:r>
              <w:rPr>
                <w:rFonts w:ascii="Calibri" w:hAnsi="Calibri"/>
                <w:color w:val="auto"/>
                <w:sz w:val="21"/>
                <w:szCs w:val="22"/>
                <w:highlight w:val="none"/>
                <w:rtl w:val="0"/>
                <w:lang w:val="en-US" w:eastAsia="zh-CN" w:bidi="ar-SA"/>
              </w:rPr>
              <w:t xml:space="preserve">服务网点机构，且各机构均可办理理赔服务。评审共分两项：</w:t>
            </w:r>
            <w:r/>
          </w:p>
          <w:p>
            <w:pPr>
              <w:jc w:val="left"/>
              <w:spacing w:after="0" w:afterAutospacing="0"/>
              <w:widowControl w:val="off"/>
              <w:rPr>
                <w:rFonts w:ascii="Calibri" w:hAnsi="Calibri"/>
                <w:color w:val="auto"/>
                <w:sz w:val="21"/>
                <w:szCs w:val="22"/>
                <w:highlight w:val="none"/>
                <w:rtl w:val="0"/>
                <w:lang w:val="en-US" w:eastAsia="zh-CN" w:bidi="ar-SA"/>
              </w:rPr>
            </w:pPr>
            <w:r>
              <w:rPr>
                <w:rFonts w:ascii="Calibri" w:hAnsi="Calibri"/>
                <w:color w:val="auto"/>
                <w:sz w:val="21"/>
                <w:szCs w:val="22"/>
                <w:highlight w:val="none"/>
                <w:rtl w:val="0"/>
                <w:lang w:val="en-US" w:eastAsia="zh-CN" w:bidi="ar-SA"/>
              </w:rPr>
              <w:t xml:space="preserve">1、</w:t>
            </w:r>
            <w:r>
              <w:rPr>
                <w:rFonts w:hint="eastAsia"/>
                <w:color w:val="auto"/>
                <w:sz w:val="21"/>
                <w:szCs w:val="22"/>
                <w:highlight w:val="none"/>
                <w:rtl w:val="0"/>
                <w:lang w:val="en-US" w:eastAsia="zh-CN" w:bidi="ar-SA"/>
              </w:rPr>
              <w:t xml:space="preserve">供应商</w:t>
            </w:r>
            <w:r>
              <w:rPr>
                <w:rFonts w:ascii="Calibri" w:hAnsi="Calibri"/>
                <w:color w:val="auto"/>
                <w:sz w:val="21"/>
                <w:szCs w:val="22"/>
                <w:highlight w:val="none"/>
                <w:rtl w:val="0"/>
                <w:lang w:val="en-US" w:eastAsia="zh-CN" w:bidi="ar-SA"/>
              </w:rPr>
              <w:t xml:space="preserve">设有分支机构</w:t>
            </w:r>
            <w:r>
              <w:rPr>
                <w:rFonts w:hint="eastAsia"/>
                <w:color w:val="auto"/>
                <w:sz w:val="21"/>
                <w:szCs w:val="22"/>
                <w:highlight w:val="none"/>
                <w:rtl w:val="0"/>
                <w:lang w:val="en-US" w:eastAsia="zh-CN" w:bidi="ar-SA"/>
              </w:rPr>
              <w:t xml:space="preserve">得</w:t>
            </w:r>
            <w:r>
              <w:rPr>
                <w:rFonts w:ascii="Calibri" w:hAnsi="Calibri"/>
                <w:color w:val="auto"/>
                <w:sz w:val="21"/>
                <w:szCs w:val="22"/>
                <w:highlight w:val="none"/>
                <w:rtl w:val="0"/>
                <w:lang w:val="en-US" w:eastAsia="zh-CN" w:bidi="ar-SA"/>
              </w:rPr>
              <w:t xml:space="preserve"> </w:t>
            </w:r>
            <w:r>
              <w:rPr>
                <w:rFonts w:hint="eastAsia"/>
                <w:color w:val="auto"/>
                <w:sz w:val="21"/>
                <w:szCs w:val="22"/>
                <w:highlight w:val="none"/>
                <w:rtl w:val="0"/>
                <w:lang w:val="en-US" w:eastAsia="zh-CN" w:bidi="ar-SA"/>
              </w:rPr>
              <w:t xml:space="preserve">6</w:t>
            </w:r>
            <w:r>
              <w:rPr>
                <w:rFonts w:ascii="Calibri" w:hAnsi="Calibri"/>
                <w:color w:val="auto"/>
                <w:sz w:val="21"/>
                <w:szCs w:val="22"/>
                <w:highlight w:val="none"/>
                <w:rtl w:val="0"/>
                <w:lang w:val="en-US" w:eastAsia="zh-CN" w:bidi="ar-SA"/>
              </w:rPr>
              <w:t xml:space="preserve"> 分</w:t>
            </w:r>
            <w:r>
              <w:rPr>
                <w:rFonts w:hint="eastAsia"/>
                <w:color w:val="auto"/>
                <w:sz w:val="21"/>
                <w:szCs w:val="22"/>
                <w:highlight w:val="none"/>
                <w:rtl w:val="0"/>
                <w:lang w:val="en-US" w:eastAsia="zh-CN" w:bidi="ar-SA"/>
              </w:rPr>
              <w:t xml:space="preserve">，</w:t>
            </w:r>
            <w:r>
              <w:rPr>
                <w:rFonts w:ascii="Calibri" w:hAnsi="Calibri"/>
                <w:color w:val="auto"/>
                <w:sz w:val="21"/>
                <w:szCs w:val="22"/>
                <w:highlight w:val="none"/>
                <w:rtl w:val="0"/>
                <w:lang w:val="en-US" w:eastAsia="zh-CN" w:bidi="ar-SA"/>
              </w:rPr>
              <w:t xml:space="preserve">分支机构指分公司或中心支公司、</w:t>
            </w:r>
            <w:r>
              <w:rPr>
                <w:rFonts w:ascii="Calibri" w:hAnsi="Calibri"/>
                <w:color w:val="auto"/>
                <w:sz w:val="21"/>
                <w:szCs w:val="22"/>
                <w:highlight w:val="none"/>
                <w:rtl w:val="0"/>
                <w:lang w:val="en-US" w:eastAsia="zh-CN" w:bidi="ar-SA"/>
              </w:rPr>
              <w:t xml:space="preserve">县级</w:t>
            </w:r>
            <w:r>
              <w:rPr>
                <w:rFonts w:ascii="Calibri" w:hAnsi="Calibri"/>
                <w:color w:val="auto"/>
                <w:sz w:val="21"/>
                <w:szCs w:val="22"/>
                <w:highlight w:val="none"/>
                <w:rtl w:val="0"/>
                <w:lang w:val="en-US" w:eastAsia="zh-CN" w:bidi="ar-SA"/>
              </w:rPr>
              <w:t xml:space="preserve">支公司</w:t>
            </w:r>
            <w:r>
              <w:rPr>
                <w:rFonts w:hint="eastAsia"/>
                <w:color w:val="auto"/>
                <w:sz w:val="21"/>
                <w:szCs w:val="22"/>
                <w:highlight w:val="none"/>
                <w:rtl w:val="0"/>
                <w:lang w:val="en-US" w:eastAsia="zh-CN" w:bidi="ar-SA"/>
              </w:rPr>
              <w:t xml:space="preserve">。</w:t>
            </w:r>
            <w:r>
              <w:rPr>
                <w:rFonts w:ascii="Calibri" w:hAnsi="Calibri"/>
                <w:color w:val="auto"/>
                <w:sz w:val="21"/>
                <w:szCs w:val="22"/>
                <w:highlight w:val="none"/>
                <w:rtl w:val="0"/>
                <w:lang w:val="en-US" w:eastAsia="zh-CN" w:bidi="ar-SA"/>
              </w:rPr>
              <w:t xml:space="preserve">需提供经中国银保监会（局）批复的经营保险业务许可证、营业执照原件电子件且加盖电子签章，未提供的不得分。</w:t>
            </w:r>
            <w:r/>
          </w:p>
          <w:p>
            <w:pPr>
              <w:jc w:val="left"/>
              <w:spacing w:after="0" w:afterAutospacing="0"/>
              <w:widowControl w:val="off"/>
              <w:rPr>
                <w:rFonts w:ascii="Calibri" w:hAnsi="Calibri"/>
                <w:color w:val="auto"/>
                <w:sz w:val="21"/>
                <w:szCs w:val="22"/>
                <w:highlight w:val="none"/>
                <w:rtl w:val="0"/>
                <w:lang w:val="en-US" w:eastAsia="zh-CN" w:bidi="ar-SA"/>
              </w:rPr>
            </w:pPr>
            <w:r>
              <w:rPr>
                <w:rFonts w:ascii="Calibri" w:hAnsi="Calibri"/>
                <w:color w:val="auto"/>
                <w:sz w:val="21"/>
                <w:szCs w:val="22"/>
                <w:highlight w:val="none"/>
                <w:rtl w:val="0"/>
                <w:lang w:val="en-US" w:eastAsia="zh-CN" w:bidi="ar-SA"/>
              </w:rPr>
              <w:t xml:space="preserve">2、</w:t>
            </w:r>
            <w:r>
              <w:rPr>
                <w:rFonts w:hint="eastAsia"/>
                <w:color w:val="auto"/>
                <w:sz w:val="21"/>
                <w:szCs w:val="22"/>
                <w:highlight w:val="none"/>
                <w:rtl w:val="0"/>
                <w:lang w:val="en-US" w:eastAsia="zh-CN" w:bidi="ar-SA"/>
              </w:rPr>
              <w:t xml:space="preserve">供应商</w:t>
            </w:r>
            <w:r>
              <w:rPr>
                <w:rFonts w:ascii="Calibri" w:hAnsi="Calibri"/>
                <w:color w:val="auto"/>
                <w:sz w:val="21"/>
                <w:szCs w:val="22"/>
                <w:highlight w:val="none"/>
                <w:rtl w:val="0"/>
                <w:lang w:val="en-US" w:eastAsia="zh-CN" w:bidi="ar-SA"/>
              </w:rPr>
              <w:t xml:space="preserve">每设有一个乡镇</w:t>
            </w:r>
            <w:r>
              <w:rPr>
                <w:rFonts w:ascii="Calibri" w:hAnsi="Calibri"/>
                <w:color w:val="auto"/>
                <w:sz w:val="21"/>
                <w:szCs w:val="22"/>
                <w:highlight w:val="none"/>
                <w:rtl w:val="0"/>
                <w:lang w:val="en-US" w:eastAsia="zh-CN" w:bidi="ar-SA"/>
              </w:rPr>
              <w:t xml:space="preserve">（街道）</w:t>
            </w:r>
            <w:r>
              <w:rPr>
                <w:rFonts w:ascii="Calibri" w:hAnsi="Calibri"/>
                <w:color w:val="auto"/>
                <w:sz w:val="21"/>
                <w:szCs w:val="22"/>
                <w:highlight w:val="none"/>
                <w:rtl w:val="0"/>
                <w:lang w:val="en-US" w:eastAsia="zh-CN" w:bidi="ar-SA"/>
              </w:rPr>
              <w:t xml:space="preserve">服务网点机构的，得 </w:t>
            </w:r>
            <w:r>
              <w:rPr>
                <w:rFonts w:hint="eastAsia"/>
                <w:color w:val="auto"/>
                <w:sz w:val="21"/>
                <w:szCs w:val="22"/>
                <w:highlight w:val="none"/>
                <w:rtl w:val="0"/>
                <w:lang w:val="en-US" w:eastAsia="zh-CN" w:bidi="ar-SA"/>
              </w:rPr>
              <w:t xml:space="preserve">0.2</w:t>
            </w:r>
            <w:r>
              <w:rPr>
                <w:rFonts w:ascii="Calibri" w:hAnsi="Calibri"/>
                <w:color w:val="auto"/>
                <w:sz w:val="21"/>
                <w:szCs w:val="22"/>
                <w:highlight w:val="none"/>
                <w:rtl w:val="0"/>
                <w:lang w:val="en-US" w:eastAsia="zh-CN" w:bidi="ar-SA"/>
              </w:rPr>
              <w:t xml:space="preserve"> 分，本项最高得 </w:t>
            </w:r>
            <w:r>
              <w:rPr>
                <w:rFonts w:hint="eastAsia"/>
                <w:color w:val="auto"/>
                <w:sz w:val="21"/>
                <w:szCs w:val="22"/>
                <w:highlight w:val="none"/>
                <w:rtl w:val="0"/>
                <w:lang w:val="en-US" w:eastAsia="zh-CN" w:bidi="ar-SA"/>
              </w:rPr>
              <w:t xml:space="preserve">3</w:t>
            </w:r>
            <w:r>
              <w:rPr>
                <w:rFonts w:ascii="Calibri" w:hAnsi="Calibri"/>
                <w:color w:val="auto"/>
                <w:sz w:val="21"/>
                <w:szCs w:val="22"/>
                <w:highlight w:val="none"/>
                <w:rtl w:val="0"/>
                <w:lang w:val="en-US" w:eastAsia="zh-CN" w:bidi="ar-SA"/>
              </w:rPr>
              <w:t xml:space="preserve">分</w:t>
            </w:r>
            <w:r>
              <w:rPr>
                <w:rFonts w:hint="eastAsia"/>
                <w:color w:val="auto"/>
                <w:sz w:val="21"/>
                <w:szCs w:val="22"/>
                <w:highlight w:val="none"/>
                <w:rtl w:val="0"/>
                <w:lang w:val="en-US" w:eastAsia="zh-CN" w:bidi="ar-SA"/>
              </w:rPr>
              <w:t xml:space="preserve">，</w:t>
            </w:r>
            <w:r>
              <w:rPr>
                <w:rFonts w:ascii="Calibri" w:hAnsi="Calibri"/>
                <w:color w:val="auto"/>
                <w:sz w:val="21"/>
                <w:szCs w:val="22"/>
                <w:highlight w:val="none"/>
                <w:rtl w:val="0"/>
                <w:lang w:val="en-US" w:eastAsia="zh-CN" w:bidi="ar-SA"/>
              </w:rPr>
              <w:t xml:space="preserve">乡镇</w:t>
            </w:r>
            <w:r>
              <w:rPr>
                <w:rFonts w:ascii="Calibri" w:hAnsi="Calibri"/>
                <w:color w:val="auto"/>
                <w:sz w:val="21"/>
                <w:szCs w:val="22"/>
                <w:highlight w:val="none"/>
                <w:rtl w:val="0"/>
                <w:lang w:val="en-US" w:eastAsia="zh-CN" w:bidi="ar-SA"/>
              </w:rPr>
              <w:t xml:space="preserve">（街道）</w:t>
            </w:r>
            <w:r>
              <w:rPr>
                <w:rFonts w:ascii="Calibri" w:hAnsi="Calibri"/>
                <w:color w:val="auto"/>
                <w:sz w:val="21"/>
                <w:szCs w:val="22"/>
                <w:highlight w:val="none"/>
                <w:rtl w:val="0"/>
                <w:lang w:val="en-US" w:eastAsia="zh-CN" w:bidi="ar-SA"/>
              </w:rPr>
              <w:t xml:space="preserve">网点指经</w:t>
            </w:r>
            <w:r>
              <w:rPr>
                <w:rFonts w:ascii="Calibri" w:hAnsi="Calibri"/>
                <w:color w:val="auto"/>
                <w:sz w:val="21"/>
                <w:szCs w:val="22"/>
                <w:highlight w:val="none"/>
                <w:rtl w:val="0"/>
                <w:lang w:val="en-US" w:eastAsia="zh-CN" w:bidi="ar-SA"/>
              </w:rPr>
              <w:t xml:space="preserve">中国银保监会（局）</w:t>
            </w:r>
            <w:r>
              <w:rPr>
                <w:rFonts w:ascii="Calibri" w:hAnsi="Calibri"/>
                <w:color w:val="auto"/>
                <w:sz w:val="21"/>
                <w:szCs w:val="22"/>
                <w:highlight w:val="none"/>
                <w:rtl w:val="0"/>
                <w:lang w:val="en-US" w:eastAsia="zh-CN" w:bidi="ar-SA"/>
              </w:rPr>
              <w:t xml:space="preserve">批复的机构设在乡镇</w:t>
            </w:r>
            <w:r>
              <w:rPr>
                <w:rFonts w:ascii="Calibri" w:hAnsi="Calibri"/>
                <w:color w:val="auto"/>
                <w:sz w:val="21"/>
                <w:szCs w:val="22"/>
                <w:highlight w:val="none"/>
                <w:rtl w:val="0"/>
                <w:lang w:val="en-US" w:eastAsia="zh-CN" w:bidi="ar-SA"/>
              </w:rPr>
              <w:t xml:space="preserve">（街道）</w:t>
            </w:r>
            <w:r>
              <w:rPr>
                <w:rFonts w:ascii="Calibri" w:hAnsi="Calibri"/>
                <w:color w:val="auto"/>
                <w:sz w:val="21"/>
                <w:szCs w:val="22"/>
                <w:highlight w:val="none"/>
                <w:rtl w:val="0"/>
                <w:lang w:val="en-US" w:eastAsia="zh-CN" w:bidi="ar-SA"/>
              </w:rPr>
              <w:t xml:space="preserve">的营销服务部（或营业部）</w:t>
            </w:r>
            <w:r>
              <w:rPr>
                <w:rFonts w:hint="eastAsia"/>
                <w:color w:val="auto"/>
                <w:sz w:val="21"/>
                <w:szCs w:val="22"/>
                <w:highlight w:val="none"/>
                <w:rtl w:val="0"/>
                <w:lang w:val="en-US" w:eastAsia="zh-CN" w:bidi="ar-SA"/>
              </w:rPr>
              <w:t xml:space="preserve">。</w:t>
            </w:r>
            <w:r/>
          </w:p>
          <w:p>
            <w:pPr>
              <w:jc w:val="left"/>
              <w:spacing w:after="0" w:afterAutospacing="0"/>
              <w:widowControl w:val="off"/>
              <w:rPr>
                <w:rFonts w:ascii="Calibri" w:hAnsi="Calibri"/>
                <w:color w:val="auto"/>
                <w:sz w:val="21"/>
                <w:szCs w:val="22"/>
                <w:highlight w:val="none"/>
                <w:lang w:val="en-US" w:eastAsia="zh-CN" w:bidi="ar-SA"/>
              </w:rPr>
            </w:pPr>
            <w:r>
              <w:rPr>
                <w:rFonts w:hint="eastAsia"/>
                <w:color w:val="auto"/>
                <w:sz w:val="21"/>
                <w:szCs w:val="22"/>
                <w:highlight w:val="none"/>
                <w:rtl w:val="0"/>
                <w:lang w:val="en-US" w:eastAsia="zh-CN" w:bidi="ar-SA"/>
              </w:rPr>
              <w:t xml:space="preserve">注：</w:t>
            </w:r>
            <w:r>
              <w:rPr>
                <w:rFonts w:ascii="Calibri" w:hAnsi="Calibri"/>
                <w:color w:val="auto"/>
                <w:sz w:val="21"/>
                <w:szCs w:val="22"/>
                <w:highlight w:val="none"/>
                <w:rtl w:val="0"/>
                <w:lang w:val="en-US" w:eastAsia="zh-CN" w:bidi="ar-SA"/>
              </w:rPr>
              <w:t xml:space="preserve">分支机构与乡镇</w:t>
            </w:r>
            <w:r>
              <w:rPr>
                <w:rFonts w:hint="eastAsia" w:ascii="Calibri" w:hAnsi="Calibri"/>
                <w:color w:val="auto"/>
                <w:sz w:val="21"/>
                <w:szCs w:val="22"/>
                <w:highlight w:val="none"/>
                <w:rtl w:val="0"/>
                <w:lang w:val="en-US" w:eastAsia="zh-CN" w:bidi="ar-SA"/>
              </w:rPr>
              <w:t xml:space="preserve">（街道）</w:t>
            </w:r>
            <w:r>
              <w:rPr>
                <w:rFonts w:ascii="Calibri" w:hAnsi="Calibri"/>
                <w:color w:val="auto"/>
                <w:sz w:val="21"/>
                <w:szCs w:val="22"/>
                <w:highlight w:val="none"/>
                <w:rtl w:val="0"/>
                <w:lang w:val="en-US" w:eastAsia="zh-CN" w:bidi="ar-SA"/>
              </w:rPr>
              <w:t xml:space="preserve">网点不重复得分。</w:t>
            </w:r>
            <w:r/>
          </w:p>
        </w:tc>
      </w:tr>
      <w:tr>
        <w:trPr/>
        <w:tc>
          <w:tcPr>
            <w:tcBorders>
              <w:top w:val="single" w:color="auto" w:sz="6" w:space="0"/>
              <w:left w:val="single" w:color="auto" w:sz="6" w:space="0"/>
              <w:bottom w:val="single" w:color="auto" w:sz="6" w:space="0"/>
              <w:right w:val="single" w:color="auto" w:sz="6" w:space="0"/>
            </w:tcBorders>
            <w:tcW w:w="402" w:type="pct"/>
            <w:vAlign w:val="center"/>
            <w:vMerge w:val="continue"/>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573" w:type="pct"/>
            <w:vAlign w:val="center"/>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赔偿限额</w:t>
            </w:r>
            <w:r/>
          </w:p>
        </w:tc>
        <w:tc>
          <w:tcPr>
            <w:tcBorders>
              <w:top w:val="single" w:color="auto" w:sz="6" w:space="0"/>
              <w:left w:val="single" w:color="auto" w:sz="6" w:space="0"/>
              <w:bottom w:val="single" w:color="auto" w:sz="6" w:space="0"/>
              <w:right w:val="single" w:color="auto" w:sz="6" w:space="0"/>
            </w:tcBorders>
            <w:tcW w:w="415" w:type="pct"/>
            <w:vAlign w:val="center"/>
            <w:textDirection w:val="lrTb"/>
            <w:noWrap w:val="false"/>
          </w:tcPr>
          <w:p>
            <w:pPr>
              <w:jc w:val="center"/>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1</w:t>
            </w:r>
            <w:r>
              <w:rPr>
                <w:rFonts w:hint="eastAsia"/>
                <w:color w:val="auto"/>
                <w:sz w:val="21"/>
                <w:szCs w:val="22"/>
                <w:highlight w:val="none"/>
                <w:rtl w:val="0"/>
                <w:lang w:val="en-US" w:eastAsia="zh-CN" w:bidi="ar-SA"/>
              </w:rPr>
              <w:t xml:space="preserve">1</w:t>
            </w:r>
            <w:r>
              <w:rPr>
                <w:rFonts w:ascii="Calibri" w:hAnsi="Calibri"/>
                <w:color w:val="auto"/>
                <w:sz w:val="21"/>
                <w:szCs w:val="22"/>
                <w:highlight w:val="none"/>
                <w:rtl w:val="0"/>
                <w:lang w:val="en-US" w:eastAsia="zh-CN" w:bidi="ar-SA"/>
              </w:rPr>
              <w:t xml:space="preserve">.00</w:t>
            </w:r>
            <w:r/>
          </w:p>
        </w:tc>
        <w:tc>
          <w:tcPr>
            <w:tcBorders>
              <w:top w:val="single" w:color="auto" w:sz="6" w:space="0"/>
              <w:left w:val="single" w:color="auto" w:sz="6" w:space="0"/>
              <w:bottom w:val="single" w:color="auto" w:sz="6" w:space="0"/>
              <w:right w:val="single" w:color="auto" w:sz="6" w:space="0"/>
            </w:tcBorders>
            <w:tcW w:w="3607" w:type="pct"/>
            <w:vAlign w:val="center"/>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评标委员会根据</w:t>
            </w:r>
            <w:r>
              <w:rPr>
                <w:rFonts w:hint="eastAsia"/>
                <w:color w:val="auto"/>
                <w:sz w:val="21"/>
                <w:szCs w:val="22"/>
                <w:highlight w:val="none"/>
                <w:rtl w:val="0"/>
                <w:lang w:val="en-US" w:eastAsia="zh-CN" w:bidi="ar-SA"/>
              </w:rPr>
              <w:t xml:space="preserve">响应文件</w:t>
            </w:r>
            <w:r>
              <w:rPr>
                <w:rFonts w:ascii="Calibri" w:hAnsi="Calibri"/>
                <w:color w:val="auto"/>
                <w:sz w:val="21"/>
                <w:szCs w:val="22"/>
                <w:highlight w:val="none"/>
                <w:rtl w:val="0"/>
                <w:lang w:val="en-US" w:eastAsia="zh-CN" w:bidi="ar-SA"/>
              </w:rPr>
              <w:t xml:space="preserve">中明细报价表赔偿限额进行评审，共分为7项。以</w:t>
            </w:r>
            <w:r>
              <w:rPr>
                <w:rFonts w:hint="eastAsia"/>
                <w:color w:val="auto"/>
                <w:sz w:val="21"/>
                <w:szCs w:val="22"/>
                <w:highlight w:val="none"/>
                <w:rtl w:val="0"/>
                <w:lang w:val="en-US" w:eastAsia="zh-CN" w:bidi="ar-SA"/>
              </w:rPr>
              <w:t xml:space="preserve">供应商</w:t>
            </w:r>
            <w:r>
              <w:rPr>
                <w:rFonts w:ascii="Calibri" w:hAnsi="Calibri"/>
                <w:color w:val="auto"/>
                <w:sz w:val="21"/>
                <w:szCs w:val="22"/>
                <w:highlight w:val="none"/>
                <w:rtl w:val="0"/>
                <w:lang w:val="en-US" w:eastAsia="zh-CN" w:bidi="ar-SA"/>
              </w:rPr>
              <w:t xml:space="preserve">所报赔偿限额等于或大于本项目方案赔偿限额计算。 1、人身意外伤害身故赔偿限额30000元/人，得2分； 2、人身意外伤害残疾根据伤残评定等级（</w:t>
            </w:r>
            <w:r>
              <w:rPr>
                <w:rFonts w:hint="eastAsia"/>
                <w:color w:val="auto"/>
                <w:sz w:val="21"/>
                <w:szCs w:val="22"/>
                <w:highlight w:val="none"/>
                <w:rtl w:val="0"/>
                <w:lang w:val="en-US" w:eastAsia="zh-CN" w:bidi="ar-SA"/>
              </w:rPr>
              <w:t xml:space="preserve">1-10</w:t>
            </w:r>
            <w:r>
              <w:rPr>
                <w:rFonts w:ascii="Calibri" w:hAnsi="Calibri"/>
                <w:color w:val="auto"/>
                <w:sz w:val="21"/>
                <w:szCs w:val="22"/>
                <w:highlight w:val="none"/>
                <w:rtl w:val="0"/>
                <w:lang w:val="en-US" w:eastAsia="zh-CN" w:bidi="ar-SA"/>
              </w:rPr>
              <w:t xml:space="preserve">级）确定赔付标准，赔偿限额每人60000元，得2分； 3、附加意外伤害医疗赔偿限额26000元，得2分； 4、因重大疾病发生住院医疗费用自付部分，按70%补偿，补偿限额最高10000元，完全响应的，得1分，不完全响应的，本项不得分； 5、经二级及以上医疗机构首次确诊的重大疾病 28 种（依据中国保险行业协会与中国医师协会发布的《重大疾病保险的疾病定义使用规范（2020 年修订版）》）赔偿限额 10000元，完全响应的得 1 分，不完全响应的，不得分；采购需求中重大疾病 28 种的基础上，</w:t>
            </w:r>
            <w:r>
              <w:rPr>
                <w:rFonts w:hint="eastAsia"/>
                <w:color w:val="auto"/>
                <w:sz w:val="21"/>
                <w:szCs w:val="22"/>
                <w:highlight w:val="none"/>
                <w:rtl w:val="0"/>
                <w:lang w:val="en-US" w:eastAsia="zh-CN" w:bidi="ar-SA"/>
              </w:rPr>
              <w:t xml:space="preserve">供应商</w:t>
            </w:r>
            <w:r>
              <w:rPr>
                <w:rFonts w:ascii="Calibri" w:hAnsi="Calibri"/>
                <w:color w:val="auto"/>
                <w:sz w:val="21"/>
                <w:szCs w:val="22"/>
                <w:highlight w:val="none"/>
                <w:rtl w:val="0"/>
                <w:lang w:val="en-US" w:eastAsia="zh-CN" w:bidi="ar-SA"/>
              </w:rPr>
              <w:t xml:space="preserve">每增加一组重大疾病赔付种类的得 0.</w:t>
            </w:r>
            <w:r>
              <w:rPr>
                <w:rFonts w:hint="eastAsia"/>
                <w:color w:val="auto"/>
                <w:sz w:val="21"/>
                <w:szCs w:val="22"/>
                <w:highlight w:val="none"/>
                <w:rtl w:val="0"/>
                <w:lang w:val="en-US" w:eastAsia="zh-CN" w:bidi="ar-SA"/>
              </w:rPr>
              <w:t xml:space="preserve">5</w:t>
            </w:r>
            <w:r>
              <w:rPr>
                <w:rFonts w:ascii="Calibri" w:hAnsi="Calibri"/>
                <w:color w:val="auto"/>
                <w:sz w:val="21"/>
                <w:szCs w:val="22"/>
                <w:highlight w:val="none"/>
                <w:rtl w:val="0"/>
                <w:lang w:val="en-US" w:eastAsia="zh-CN" w:bidi="ar-SA"/>
              </w:rPr>
              <w:t xml:space="preserve">分，最高得 1 分，</w:t>
            </w:r>
            <w:r>
              <w:rPr>
                <w:rFonts w:hint="eastAsia"/>
                <w:color w:val="auto"/>
                <w:sz w:val="21"/>
                <w:szCs w:val="22"/>
                <w:highlight w:val="none"/>
                <w:rtl w:val="0"/>
                <w:lang w:val="en-US" w:eastAsia="zh-CN" w:bidi="ar-SA"/>
              </w:rPr>
              <w:t xml:space="preserve">供应商</w:t>
            </w:r>
            <w:r>
              <w:rPr>
                <w:rFonts w:ascii="Calibri" w:hAnsi="Calibri"/>
                <w:color w:val="auto"/>
                <w:sz w:val="21"/>
                <w:szCs w:val="22"/>
                <w:highlight w:val="none"/>
                <w:rtl w:val="0"/>
                <w:lang w:val="en-US" w:eastAsia="zh-CN" w:bidi="ar-SA"/>
              </w:rPr>
              <w:t xml:space="preserve">需提供承诺</w:t>
            </w:r>
            <w:r>
              <w:rPr>
                <w:rFonts w:hint="eastAsia" w:cs="Times New Roman"/>
                <w:color w:val="auto"/>
                <w:sz w:val="21"/>
                <w:szCs w:val="22"/>
                <w:highlight w:val="none"/>
                <w:rtl w:val="0"/>
                <w:lang w:val="en-US" w:eastAsia="zh-CN" w:bidi="ar-SA"/>
              </w:rPr>
              <w:t xml:space="preserve">（</w:t>
            </w:r>
            <w:r>
              <w:rPr>
                <w:rFonts w:hint="eastAsia"/>
                <w:color w:val="auto"/>
                <w:sz w:val="21"/>
                <w:szCs w:val="22"/>
                <w:highlight w:val="none"/>
                <w:rtl w:val="0"/>
                <w:lang w:val="en-US" w:eastAsia="zh-CN" w:bidi="ar-SA"/>
              </w:rPr>
              <w:t xml:space="preserve">承诺格式自拟并加盖供应商公章）</w:t>
            </w:r>
            <w:r>
              <w:rPr>
                <w:rFonts w:ascii="Calibri" w:hAnsi="Calibri"/>
                <w:color w:val="auto"/>
                <w:sz w:val="21"/>
                <w:szCs w:val="22"/>
                <w:highlight w:val="none"/>
                <w:rtl w:val="0"/>
                <w:lang w:val="en-US" w:eastAsia="zh-CN" w:bidi="ar-SA"/>
              </w:rPr>
              <w:t xml:space="preserve">，</w:t>
            </w:r>
            <w:r>
              <w:rPr>
                <w:rFonts w:ascii="Calibri" w:hAnsi="Calibri"/>
                <w:color w:val="auto"/>
                <w:sz w:val="21"/>
                <w:szCs w:val="22"/>
                <w:highlight w:val="none"/>
                <w:rtl w:val="0"/>
                <w:lang w:val="en-US" w:eastAsia="zh-CN" w:bidi="ar-SA"/>
              </w:rPr>
              <w:t xml:space="preserve">未提供的不得分；本项最高得 2 分。6、意外伤害住院津贴、重大疾病住院津贴赔偿限额100元/天/人，最高90天，免赔1天，完全响应的，本项得分1分，不完全响应的，本项不得分；7、在医保定点医疗机构住院发生的医保政策范围内住院费用（外购药除外），经基本医保、大病保险、医疗救助、低收入农户大病补充保险账户支付等医保实际报销后，剩余个人自付部分（不含丙类费用），按照起付线10000元，补偿比例50%，限额5000元/人/年予以补偿，完全响应的，得1分，不完全响应的，本项不得分。</w:t>
            </w:r>
            <w:r/>
          </w:p>
        </w:tc>
      </w:tr>
      <w:tr>
        <w:trPr/>
        <w:tc>
          <w:tcPr>
            <w:tcBorders>
              <w:top w:val="single" w:color="auto" w:sz="6" w:space="0"/>
              <w:left w:val="single" w:color="auto" w:sz="6" w:space="0"/>
              <w:right w:val="single" w:color="auto" w:sz="6" w:space="0"/>
            </w:tcBorders>
            <w:tcW w:w="402" w:type="pct"/>
            <w:vAlign w:val="center"/>
            <w:vMerge w:val="restart"/>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企业经营业绩、信誉</w:t>
            </w:r>
            <w:r/>
          </w:p>
        </w:tc>
        <w:tc>
          <w:tcPr>
            <w:tcBorders>
              <w:top w:val="single" w:color="auto" w:sz="6" w:space="0"/>
              <w:left w:val="single" w:color="auto" w:sz="6" w:space="0"/>
              <w:bottom w:val="single" w:color="auto" w:sz="6" w:space="0"/>
              <w:right w:val="single" w:color="auto" w:sz="6" w:space="0"/>
            </w:tcBorders>
            <w:tcW w:w="573" w:type="pct"/>
            <w:vAlign w:val="center"/>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企业业绩</w:t>
            </w:r>
            <w:r/>
          </w:p>
        </w:tc>
        <w:tc>
          <w:tcPr>
            <w:tcBorders>
              <w:top w:val="single" w:color="auto" w:sz="6" w:space="0"/>
              <w:left w:val="single" w:color="auto" w:sz="6" w:space="0"/>
              <w:bottom w:val="single" w:color="auto" w:sz="6" w:space="0"/>
              <w:right w:val="single" w:color="auto" w:sz="6" w:space="0"/>
            </w:tcBorders>
            <w:tcW w:w="415" w:type="pct"/>
            <w:vAlign w:val="center"/>
            <w:textDirection w:val="lrTb"/>
            <w:noWrap w:val="false"/>
          </w:tcPr>
          <w:p>
            <w:pPr>
              <w:jc w:val="center"/>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12.00</w:t>
            </w:r>
            <w:r/>
          </w:p>
        </w:tc>
        <w:tc>
          <w:tcPr>
            <w:tcBorders>
              <w:top w:val="single" w:color="auto" w:sz="6" w:space="0"/>
              <w:left w:val="single" w:color="auto" w:sz="6" w:space="0"/>
              <w:bottom w:val="single" w:color="auto" w:sz="6" w:space="0"/>
              <w:right w:val="single" w:color="auto" w:sz="6" w:space="0"/>
            </w:tcBorders>
            <w:tcW w:w="3607" w:type="pct"/>
            <w:vAlign w:val="center"/>
            <w:textDirection w:val="lrTb"/>
            <w:noWrap w:val="false"/>
          </w:tcPr>
          <w:p>
            <w:pPr>
              <w:jc w:val="left"/>
              <w:spacing w:after="0" w:afterAutospacing="0"/>
              <w:widowControl w:val="off"/>
              <w:rPr>
                <w:rFonts w:ascii="Calibri" w:hAnsi="Calibri"/>
                <w:color w:val="auto"/>
                <w:sz w:val="21"/>
                <w:szCs w:val="22"/>
                <w:highlight w:val="none"/>
                <w:rtl w:val="0"/>
                <w:lang w:val="en-US" w:eastAsia="zh-CN" w:bidi="ar-SA"/>
              </w:rPr>
            </w:pPr>
            <w:r>
              <w:rPr>
                <w:rFonts w:hint="eastAsia"/>
                <w:color w:val="auto"/>
                <w:sz w:val="21"/>
                <w:szCs w:val="22"/>
                <w:highlight w:val="none"/>
                <w:rtl w:val="0"/>
                <w:lang w:val="en-US" w:eastAsia="zh-CN" w:bidi="ar-SA"/>
              </w:rPr>
              <w:t xml:space="preserve">供应商</w:t>
            </w:r>
            <w:r>
              <w:rPr>
                <w:rFonts w:ascii="Calibri" w:hAnsi="Calibri"/>
                <w:color w:val="auto"/>
                <w:sz w:val="21"/>
                <w:szCs w:val="22"/>
                <w:highlight w:val="none"/>
                <w:rtl w:val="0"/>
                <w:lang w:val="en-US" w:eastAsia="zh-CN" w:bidi="ar-SA"/>
              </w:rPr>
              <w:t xml:space="preserve">自202</w:t>
            </w:r>
            <w:r>
              <w:rPr>
                <w:rFonts w:hint="eastAsia"/>
                <w:color w:val="auto"/>
                <w:sz w:val="21"/>
                <w:szCs w:val="22"/>
                <w:highlight w:val="none"/>
                <w:rtl w:val="0"/>
                <w:lang w:val="en-US" w:eastAsia="zh-CN" w:bidi="ar-SA"/>
              </w:rPr>
              <w:t xml:space="preserve">3</w:t>
            </w:r>
            <w:r>
              <w:rPr>
                <w:rFonts w:ascii="Calibri" w:hAnsi="Calibri"/>
                <w:color w:val="auto"/>
                <w:sz w:val="21"/>
                <w:szCs w:val="22"/>
                <w:highlight w:val="none"/>
                <w:rtl w:val="0"/>
                <w:lang w:val="en-US" w:eastAsia="zh-CN" w:bidi="ar-SA"/>
              </w:rPr>
              <w:t xml:space="preserve">年1月1日</w:t>
            </w:r>
            <w:r>
              <w:rPr>
                <w:rFonts w:hint="eastAsia"/>
                <w:color w:val="auto"/>
                <w:sz w:val="21"/>
                <w:szCs w:val="22"/>
                <w:highlight w:val="none"/>
                <w:rtl w:val="0"/>
                <w:lang w:val="en-US" w:eastAsia="zh-CN" w:bidi="ar-SA"/>
              </w:rPr>
              <w:t xml:space="preserve">以来</w:t>
            </w:r>
            <w:r>
              <w:rPr>
                <w:rFonts w:ascii="Calibri" w:hAnsi="Calibri"/>
                <w:color w:val="auto"/>
                <w:sz w:val="21"/>
                <w:szCs w:val="22"/>
                <w:highlight w:val="none"/>
                <w:rtl w:val="0"/>
                <w:lang w:val="en-US" w:eastAsia="zh-CN" w:bidi="ar-SA"/>
              </w:rPr>
              <w:t xml:space="preserve">以合同或协议书</w:t>
            </w:r>
            <w:r>
              <w:rPr>
                <w:rFonts w:ascii="Calibri" w:hAnsi="Calibri"/>
                <w:color w:val="auto"/>
                <w:sz w:val="21"/>
                <w:szCs w:val="22"/>
                <w:highlight w:val="none"/>
                <w:rtl w:val="0"/>
                <w:lang w:val="en-US" w:eastAsia="zh-CN" w:bidi="ar-SA"/>
              </w:rPr>
              <w:t xml:space="preserve">签订时间为准，与县级（含县级）以上人民政府或其行政主管部门合作过保险项目的，每有一项得2分，最高得12分。</w:t>
            </w:r>
            <w:r/>
          </w:p>
          <w:p>
            <w:pPr>
              <w:jc w:val="left"/>
              <w:spacing w:after="0" w:afterAutospacing="0"/>
              <w:widowControl w:val="off"/>
              <w:rPr>
                <w:rFonts w:hint="default"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注：1.同一项目与同一部门连续签约的，计一次合作</w:t>
            </w:r>
            <w:r>
              <w:rPr>
                <w:rFonts w:hint="eastAsia"/>
                <w:color w:val="auto"/>
                <w:sz w:val="21"/>
                <w:szCs w:val="22"/>
                <w:highlight w:val="none"/>
                <w:rtl w:val="0"/>
                <w:lang w:val="en-US" w:eastAsia="zh-CN" w:bidi="ar-SA"/>
              </w:rPr>
              <w:t xml:space="preserve">业绩</w:t>
            </w:r>
            <w:r>
              <w:rPr>
                <w:rFonts w:ascii="Calibri" w:hAnsi="Calibri"/>
                <w:color w:val="auto"/>
                <w:sz w:val="21"/>
                <w:szCs w:val="22"/>
                <w:highlight w:val="none"/>
                <w:rtl w:val="0"/>
                <w:lang w:val="en-US" w:eastAsia="zh-CN" w:bidi="ar-SA"/>
              </w:rPr>
              <w:t xml:space="preserve">；2.提供</w:t>
            </w:r>
            <w:r>
              <w:rPr>
                <w:rFonts w:hint="eastAsia"/>
                <w:color w:val="auto"/>
                <w:sz w:val="21"/>
                <w:szCs w:val="22"/>
                <w:highlight w:val="none"/>
                <w:rtl w:val="0"/>
                <w:lang w:val="en-US" w:eastAsia="zh-CN" w:bidi="ar-SA"/>
              </w:rPr>
              <w:t xml:space="preserve">中标</w:t>
            </w:r>
            <w:r>
              <w:rPr>
                <w:rFonts w:ascii="Calibri" w:hAnsi="Calibri"/>
                <w:color w:val="auto"/>
                <w:sz w:val="21"/>
                <w:szCs w:val="22"/>
                <w:highlight w:val="none"/>
                <w:rtl w:val="0"/>
                <w:lang w:val="en-US" w:eastAsia="zh-CN" w:bidi="ar-SA"/>
              </w:rPr>
              <w:t xml:space="preserve">（或成交通知书）和合同（或合作协议）原件扫描件，</w:t>
            </w:r>
            <w:r>
              <w:rPr>
                <w:rFonts w:hint="eastAsia"/>
                <w:color w:val="auto"/>
                <w:sz w:val="21"/>
                <w:szCs w:val="22"/>
                <w:highlight w:val="none"/>
                <w:rtl w:val="0"/>
                <w:lang w:val="en-US" w:eastAsia="zh-CN" w:bidi="ar-SA"/>
              </w:rPr>
              <w:t xml:space="preserve">合同</w:t>
            </w:r>
            <w:r>
              <w:rPr>
                <w:rFonts w:ascii="Calibri" w:hAnsi="Calibri"/>
                <w:color w:val="auto"/>
                <w:sz w:val="21"/>
                <w:szCs w:val="22"/>
                <w:highlight w:val="none"/>
                <w:rtl w:val="0"/>
                <w:lang w:val="en-US" w:eastAsia="zh-CN" w:bidi="ar-SA"/>
              </w:rPr>
              <w:t xml:space="preserve">主要内容、</w:t>
            </w:r>
            <w:r>
              <w:rPr>
                <w:rFonts w:hint="eastAsia"/>
                <w:color w:val="auto"/>
                <w:sz w:val="21"/>
                <w:szCs w:val="22"/>
                <w:highlight w:val="none"/>
                <w:rtl w:val="0"/>
                <w:lang w:val="en-US" w:eastAsia="zh-CN" w:bidi="ar-SA"/>
              </w:rPr>
              <w:t xml:space="preserve">供应商</w:t>
            </w:r>
            <w:r>
              <w:rPr>
                <w:rFonts w:ascii="Calibri" w:hAnsi="Calibri"/>
                <w:color w:val="auto"/>
                <w:sz w:val="21"/>
                <w:szCs w:val="22"/>
                <w:highlight w:val="none"/>
                <w:rtl w:val="0"/>
                <w:lang w:val="en-US" w:eastAsia="zh-CN" w:bidi="ar-SA"/>
              </w:rPr>
              <w:t xml:space="preserve">名称、标的、签订时间、金额清晰可见，未提供不得分</w:t>
            </w:r>
            <w:r>
              <w:rPr>
                <w:rFonts w:hint="eastAsia"/>
                <w:color w:val="auto"/>
                <w:sz w:val="21"/>
                <w:szCs w:val="22"/>
                <w:highlight w:val="none"/>
                <w:rtl w:val="0"/>
                <w:lang w:val="en-US" w:eastAsia="zh-CN" w:bidi="ar-SA"/>
              </w:rPr>
              <w:t xml:space="preserve">。</w:t>
            </w:r>
            <w:r>
              <w:rPr>
                <w:rFonts w:ascii="Calibri" w:hAnsi="Calibri"/>
                <w:color w:val="auto"/>
                <w:sz w:val="21"/>
                <w:szCs w:val="22"/>
                <w:highlight w:val="none"/>
                <w:rtl w:val="0"/>
                <w:lang w:val="en-US" w:eastAsia="zh-CN" w:bidi="ar-SA"/>
              </w:rPr>
              <w:t xml:space="preserve">成交后，采购人将有权对原件进行核查。</w:t>
            </w:r>
            <w:r>
              <w:rPr>
                <w:rFonts w:hint="eastAsia"/>
                <w:color w:val="auto"/>
                <w:sz w:val="21"/>
                <w:szCs w:val="22"/>
                <w:highlight w:val="none"/>
                <w:rtl w:val="0"/>
                <w:lang w:val="en-US" w:eastAsia="zh-CN" w:bidi="ar-SA"/>
              </w:rPr>
              <w:t xml:space="preserve">3.</w:t>
            </w:r>
            <w:r>
              <w:rPr>
                <w:rFonts w:hint="eastAsia" w:ascii="宋体" w:hAnsi="宋体" w:eastAsia="宋体" w:cs="宋体"/>
                <w:i w:val="0"/>
                <w:iCs w:val="0"/>
                <w:color w:val="auto"/>
                <w:sz w:val="21"/>
                <w:szCs w:val="21"/>
                <w:highlight w:val="none"/>
                <w:u w:val="none"/>
                <w:lang w:val="en-US" w:eastAsia="zh-CN" w:bidi="ar"/>
              </w:rPr>
              <w:t xml:space="preserve">对成交供应商的业绩</w:t>
            </w:r>
            <w:r>
              <w:rPr>
                <w:rFonts w:hint="eastAsia" w:ascii="宋体" w:hAnsi="宋体" w:cs="宋体"/>
                <w:i w:val="0"/>
                <w:iCs w:val="0"/>
                <w:color w:val="auto"/>
                <w:sz w:val="21"/>
                <w:szCs w:val="21"/>
                <w:highlight w:val="none"/>
                <w:u w:val="none"/>
                <w:lang w:val="en-US" w:eastAsia="zh-CN" w:bidi="ar"/>
              </w:rPr>
              <w:t xml:space="preserve">材料</w:t>
            </w:r>
            <w:r>
              <w:rPr>
                <w:rFonts w:hint="eastAsia" w:ascii="宋体" w:hAnsi="宋体" w:eastAsia="宋体" w:cs="宋体"/>
                <w:i w:val="0"/>
                <w:iCs w:val="0"/>
                <w:color w:val="auto"/>
                <w:sz w:val="21"/>
                <w:szCs w:val="21"/>
                <w:highlight w:val="none"/>
                <w:u w:val="none"/>
                <w:lang w:val="en-US" w:eastAsia="zh-CN" w:bidi="ar"/>
              </w:rPr>
              <w:t xml:space="preserve">随中标（成交）结果公告同步予以公示。</w:t>
            </w:r>
            <w:r/>
          </w:p>
        </w:tc>
      </w:tr>
      <w:tr>
        <w:trPr/>
        <w:tc>
          <w:tcPr>
            <w:tcBorders>
              <w:left w:val="single" w:color="auto" w:sz="6" w:space="0"/>
              <w:right w:val="single" w:color="auto" w:sz="6" w:space="0"/>
            </w:tcBorders>
            <w:tcW w:w="402" w:type="pct"/>
            <w:vAlign w:val="center"/>
            <w:vMerge w:val="continue"/>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573" w:type="pct"/>
            <w:vAlign w:val="center"/>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企业荣誉</w:t>
            </w:r>
            <w:r/>
          </w:p>
        </w:tc>
        <w:tc>
          <w:tcPr>
            <w:tcBorders>
              <w:top w:val="single" w:color="auto" w:sz="6" w:space="0"/>
              <w:left w:val="single" w:color="auto" w:sz="6" w:space="0"/>
              <w:bottom w:val="single" w:color="auto" w:sz="6" w:space="0"/>
              <w:right w:val="single" w:color="auto" w:sz="6" w:space="0"/>
            </w:tcBorders>
            <w:tcW w:w="415" w:type="pct"/>
            <w:vAlign w:val="center"/>
            <w:textDirection w:val="lrTb"/>
            <w:noWrap w:val="false"/>
          </w:tcPr>
          <w:p>
            <w:pPr>
              <w:jc w:val="center"/>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10.00</w:t>
            </w:r>
            <w:r/>
          </w:p>
        </w:tc>
        <w:tc>
          <w:tcPr>
            <w:tcBorders>
              <w:top w:val="single" w:color="auto" w:sz="6" w:space="0"/>
              <w:left w:val="single" w:color="auto" w:sz="6" w:space="0"/>
              <w:bottom w:val="single" w:color="auto" w:sz="6" w:space="0"/>
              <w:right w:val="single" w:color="auto" w:sz="6" w:space="0"/>
            </w:tcBorders>
            <w:tcW w:w="3607" w:type="pct"/>
            <w:vAlign w:val="center"/>
            <w:textDirection w:val="lrTb"/>
            <w:noWrap w:val="false"/>
          </w:tcPr>
          <w:p>
            <w:pPr>
              <w:jc w:val="left"/>
              <w:spacing w:after="0" w:afterAutospacing="0"/>
              <w:widowControl w:val="off"/>
              <w:rPr>
                <w:rFonts w:ascii="Calibri" w:hAnsi="Calibri"/>
                <w:color w:val="auto"/>
                <w:sz w:val="21"/>
                <w:szCs w:val="22"/>
                <w:highlight w:val="none"/>
                <w:rtl w:val="0"/>
                <w:lang w:val="en-US" w:eastAsia="zh-CN" w:bidi="ar-SA"/>
              </w:rPr>
            </w:pPr>
            <w:r>
              <w:rPr>
                <w:rFonts w:hint="eastAsia"/>
                <w:color w:val="auto"/>
                <w:sz w:val="21"/>
                <w:szCs w:val="22"/>
                <w:highlight w:val="none"/>
                <w:rtl w:val="0"/>
                <w:lang w:val="en-US" w:eastAsia="zh-CN" w:bidi="ar-SA"/>
              </w:rPr>
              <w:t xml:space="preserve">供应商</w:t>
            </w:r>
            <w:r>
              <w:rPr>
                <w:rFonts w:ascii="Calibri" w:hAnsi="Calibri"/>
                <w:color w:val="auto"/>
                <w:sz w:val="21"/>
                <w:szCs w:val="22"/>
                <w:highlight w:val="none"/>
                <w:rtl w:val="0"/>
                <w:lang w:val="en-US" w:eastAsia="zh-CN" w:bidi="ar-SA"/>
              </w:rPr>
              <w:t xml:space="preserve">自202</w:t>
            </w:r>
            <w:r>
              <w:rPr>
                <w:rFonts w:hint="eastAsia"/>
                <w:color w:val="auto"/>
                <w:sz w:val="21"/>
                <w:szCs w:val="22"/>
                <w:highlight w:val="none"/>
                <w:rtl w:val="0"/>
                <w:lang w:val="en-US" w:eastAsia="zh-CN" w:bidi="ar-SA"/>
              </w:rPr>
              <w:t xml:space="preserve">3</w:t>
            </w:r>
            <w:r>
              <w:rPr>
                <w:rFonts w:ascii="Calibri" w:hAnsi="Calibri"/>
                <w:color w:val="auto"/>
                <w:sz w:val="21"/>
                <w:szCs w:val="22"/>
                <w:highlight w:val="none"/>
                <w:rtl w:val="0"/>
                <w:lang w:val="en-US" w:eastAsia="zh-CN" w:bidi="ar-SA"/>
              </w:rPr>
              <w:t xml:space="preserve">年1月1日（时间以表彰文件发文日期或荣誉证书显示日期为准）以来获得县级（含）以上党委政府或其行政主管部门</w:t>
            </w:r>
            <w:r>
              <w:rPr>
                <w:rFonts w:hint="eastAsia"/>
                <w:color w:val="auto"/>
                <w:sz w:val="21"/>
                <w:szCs w:val="22"/>
                <w:highlight w:val="none"/>
                <w:rtl w:val="0"/>
                <w:lang w:val="en-US" w:eastAsia="zh-CN" w:bidi="ar-SA"/>
              </w:rPr>
              <w:t xml:space="preserve">（含领导小组）</w:t>
            </w:r>
            <w:r>
              <w:rPr>
                <w:rFonts w:ascii="Calibri" w:hAnsi="Calibri"/>
                <w:color w:val="auto"/>
                <w:sz w:val="21"/>
                <w:szCs w:val="22"/>
                <w:highlight w:val="none"/>
                <w:rtl w:val="0"/>
                <w:lang w:val="en-US" w:eastAsia="zh-CN" w:bidi="ar-SA"/>
              </w:rPr>
              <w:t xml:space="preserve">集体类表彰的，每有一项得2分，最高得10分。</w:t>
            </w:r>
            <w:r/>
          </w:p>
          <w:p>
            <w:pPr>
              <w:jc w:val="left"/>
              <w:spacing w:after="0" w:afterAutospacing="0"/>
              <w:widowControl w:val="off"/>
              <w:rPr>
                <w:rFonts w:ascii="Calibri" w:hAnsi="Calibri"/>
                <w:color w:val="auto"/>
                <w:sz w:val="21"/>
                <w:szCs w:val="22"/>
                <w:highlight w:val="none"/>
                <w:rtl w:val="0"/>
                <w:lang w:val="en-US" w:eastAsia="zh-CN" w:bidi="ar-SA"/>
              </w:rPr>
            </w:pPr>
            <w:r>
              <w:rPr>
                <w:rFonts w:hint="eastAsia"/>
                <w:color w:val="auto"/>
                <w:sz w:val="21"/>
                <w:szCs w:val="22"/>
                <w:highlight w:val="none"/>
                <w:rtl w:val="0"/>
                <w:lang w:val="en-US" w:eastAsia="zh-CN" w:bidi="ar-SA"/>
              </w:rPr>
              <w:t xml:space="preserve">注：1.供应商</w:t>
            </w:r>
            <w:r>
              <w:rPr>
                <w:rFonts w:ascii="Calibri" w:hAnsi="Calibri"/>
                <w:color w:val="auto"/>
                <w:sz w:val="21"/>
                <w:szCs w:val="22"/>
                <w:highlight w:val="none"/>
                <w:rtl w:val="0"/>
                <w:lang w:val="en-US" w:eastAsia="zh-CN" w:bidi="ar-SA"/>
              </w:rPr>
              <w:t xml:space="preserve">系统内部获奖荣誉不作为评审依据；</w:t>
            </w:r>
            <w:r>
              <w:rPr>
                <w:rFonts w:hint="eastAsia"/>
                <w:color w:val="auto"/>
                <w:sz w:val="21"/>
                <w:szCs w:val="22"/>
                <w:highlight w:val="none"/>
                <w:rtl w:val="0"/>
                <w:lang w:val="en-US" w:eastAsia="zh-CN" w:bidi="ar-SA"/>
              </w:rPr>
              <w:t xml:space="preserve">供应商</w:t>
            </w:r>
            <w:r>
              <w:rPr>
                <w:rFonts w:ascii="Calibri" w:hAnsi="Calibri"/>
                <w:color w:val="auto"/>
                <w:sz w:val="21"/>
                <w:szCs w:val="22"/>
                <w:highlight w:val="none"/>
                <w:rtl w:val="0"/>
                <w:lang w:val="en-US" w:eastAsia="zh-CN" w:bidi="ar-SA"/>
              </w:rPr>
              <w:t xml:space="preserve">必须在</w:t>
            </w:r>
            <w:r>
              <w:rPr>
                <w:rFonts w:hint="eastAsia"/>
                <w:color w:val="auto"/>
                <w:sz w:val="21"/>
                <w:szCs w:val="22"/>
                <w:highlight w:val="none"/>
                <w:rtl w:val="0"/>
                <w:lang w:val="en-US" w:eastAsia="zh-CN" w:bidi="ar-SA"/>
              </w:rPr>
              <w:t xml:space="preserve">响应文件</w:t>
            </w:r>
            <w:r>
              <w:rPr>
                <w:rFonts w:ascii="Calibri" w:hAnsi="Calibri"/>
                <w:color w:val="auto"/>
                <w:sz w:val="21"/>
                <w:szCs w:val="22"/>
                <w:highlight w:val="none"/>
                <w:rtl w:val="0"/>
                <w:lang w:val="en-US" w:eastAsia="zh-CN" w:bidi="ar-SA"/>
              </w:rPr>
              <w:t xml:space="preserve">中提供表彰文件或荣誉证书原件扫描件为准，未提供或提供不全的不得分。</w:t>
            </w:r>
            <w:r/>
          </w:p>
          <w:p>
            <w:pPr>
              <w:jc w:val="left"/>
              <w:spacing w:after="0" w:afterAutospacing="0"/>
              <w:widowControl w:val="off"/>
              <w:rPr>
                <w:rFonts w:ascii="Calibri" w:hAnsi="Calibri"/>
                <w:color w:val="auto"/>
                <w:sz w:val="21"/>
                <w:szCs w:val="22"/>
                <w:highlight w:val="none"/>
                <w:rtl w:val="0"/>
                <w:lang w:val="en-US" w:eastAsia="zh-CN" w:bidi="ar-SA"/>
              </w:rPr>
            </w:pP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对成交供应商的</w:t>
            </w:r>
            <w:r>
              <w:rPr>
                <w:rFonts w:ascii="Calibri" w:hAnsi="Calibri"/>
                <w:color w:val="auto"/>
                <w:sz w:val="21"/>
                <w:szCs w:val="22"/>
                <w:highlight w:val="none"/>
                <w:rtl w:val="0"/>
                <w:lang w:val="en-US" w:eastAsia="zh-CN" w:bidi="ar-SA"/>
              </w:rPr>
              <w:t xml:space="preserve">荣誉</w:t>
            </w:r>
            <w:r>
              <w:rPr>
                <w:rFonts w:hint="eastAsia" w:ascii="宋体" w:hAnsi="宋体" w:eastAsia="宋体" w:cs="宋体"/>
                <w:i w:val="0"/>
                <w:iCs w:val="0"/>
                <w:color w:val="auto"/>
                <w:sz w:val="21"/>
                <w:szCs w:val="21"/>
                <w:highlight w:val="none"/>
                <w:u w:val="none"/>
                <w:lang w:val="en-US" w:eastAsia="zh-CN" w:bidi="ar"/>
              </w:rPr>
              <w:t xml:space="preserve">随中标（成交）结果公告同步予以公示。</w:t>
            </w:r>
            <w:r/>
          </w:p>
        </w:tc>
      </w:tr>
      <w:tr>
        <w:trPr>
          <w:trHeight w:val="1248"/>
        </w:trPr>
        <w:tc>
          <w:tcPr>
            <w:tcBorders>
              <w:left w:val="single" w:color="auto" w:sz="6" w:space="0"/>
              <w:bottom w:val="single" w:color="auto" w:sz="6" w:space="0"/>
              <w:right w:val="single" w:color="auto" w:sz="6" w:space="0"/>
            </w:tcBorders>
            <w:tcW w:w="402" w:type="pct"/>
            <w:vAlign w:val="center"/>
            <w:vMerge w:val="continue"/>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lang w:val="en-US" w:eastAsia="zh-CN" w:bidi="ar-SA"/>
              </w:rPr>
            </w:r>
            <w:r/>
          </w:p>
        </w:tc>
        <w:tc>
          <w:tcPr>
            <w:shd w:val="clear" w:color="auto" w:fill="auto"/>
            <w:tcBorders>
              <w:top w:val="single" w:color="auto" w:sz="6" w:space="0"/>
              <w:left w:val="single" w:color="auto" w:sz="6" w:space="0"/>
              <w:bottom w:val="single" w:color="auto" w:sz="6" w:space="0"/>
              <w:right w:val="single" w:color="auto" w:sz="6" w:space="0"/>
            </w:tcBorders>
            <w:tcW w:w="573" w:type="pct"/>
            <w:vAlign w:val="center"/>
            <w:textDirection w:val="lrTb"/>
            <w:noWrap w:val="false"/>
          </w:tcPr>
          <w:p>
            <w:pPr>
              <w:jc w:val="center"/>
              <w:spacing w:after="0" w:afterAutospacing="0"/>
              <w:widowControl w:val="off"/>
              <w:rPr>
                <w:rFonts w:hint="eastAsia"/>
                <w:color w:val="auto"/>
                <w:sz w:val="21"/>
                <w:szCs w:val="22"/>
                <w:highlight w:val="none"/>
                <w:rtl w:val="0"/>
                <w:lang w:val="en-US" w:eastAsia="zh-CN" w:bidi="ar-SA"/>
              </w:rPr>
            </w:pPr>
            <w:r>
              <w:rPr>
                <w:rFonts w:hint="eastAsia"/>
                <w:color w:val="auto"/>
                <w:sz w:val="21"/>
                <w:szCs w:val="22"/>
                <w:highlight w:val="none"/>
                <w:rtl w:val="0"/>
                <w:lang w:val="en-US" w:eastAsia="zh-CN" w:bidi="ar-SA"/>
              </w:rPr>
            </w:r>
            <w:r/>
          </w:p>
          <w:p>
            <w:pPr>
              <w:jc w:val="both"/>
              <w:spacing w:after="0" w:afterAutospacing="0"/>
              <w:widowControl w:val="off"/>
              <w:rPr>
                <w:rFonts w:hint="default" w:ascii="Calibri" w:hAnsi="Calibri" w:eastAsia="宋体" w:cs="Times New Roman"/>
                <w:color w:val="auto"/>
                <w:sz w:val="21"/>
                <w:szCs w:val="22"/>
                <w:highlight w:val="none"/>
                <w:rtl w:val="0"/>
                <w:lang w:val="en-US" w:eastAsia="zh-CN" w:bidi="ar-SA"/>
              </w:rPr>
            </w:pPr>
            <w:r>
              <w:rPr>
                <w:rFonts w:hint="eastAsia"/>
                <w:color w:val="auto"/>
                <w:sz w:val="21"/>
                <w:szCs w:val="22"/>
                <w:highlight w:val="none"/>
                <w:rtl w:val="0"/>
                <w:lang w:val="en-US" w:eastAsia="zh-CN" w:bidi="ar-SA"/>
              </w:rPr>
              <w:t xml:space="preserve">风险综合评级</w:t>
            </w:r>
            <w:r/>
          </w:p>
        </w:tc>
        <w:tc>
          <w:tcPr>
            <w:shd w:val="clear" w:color="auto" w:fill="auto"/>
            <w:tcBorders>
              <w:top w:val="single" w:color="auto" w:sz="6" w:space="0"/>
              <w:left w:val="single" w:color="auto" w:sz="6" w:space="0"/>
              <w:bottom w:val="single" w:color="auto" w:sz="6" w:space="0"/>
              <w:right w:val="single" w:color="auto" w:sz="6" w:space="0"/>
            </w:tcBorders>
            <w:tcW w:w="415" w:type="pct"/>
            <w:vAlign w:val="center"/>
            <w:textDirection w:val="lrTb"/>
            <w:noWrap w:val="false"/>
          </w:tcPr>
          <w:p>
            <w:pPr>
              <w:jc w:val="center"/>
              <w:spacing w:after="0" w:afterAutospacing="0"/>
              <w:widowControl w:val="off"/>
              <w:rPr>
                <w:rFonts w:hint="default" w:ascii="Calibri" w:hAnsi="Calibri" w:eastAsia="宋体" w:cs="Times New Roman"/>
                <w:color w:val="auto"/>
                <w:sz w:val="21"/>
                <w:szCs w:val="22"/>
                <w:highlight w:val="none"/>
                <w:rtl w:val="0"/>
                <w:lang w:val="en-US" w:eastAsia="zh-CN" w:bidi="ar-SA"/>
              </w:rPr>
            </w:pPr>
            <w:r>
              <w:rPr>
                <w:rFonts w:hint="eastAsia"/>
                <w:color w:val="auto"/>
                <w:sz w:val="21"/>
                <w:szCs w:val="22"/>
                <w:highlight w:val="none"/>
                <w:rtl w:val="0"/>
                <w:lang w:val="en-US" w:eastAsia="zh-CN" w:bidi="ar-SA"/>
              </w:rPr>
              <w:t xml:space="preserve">3.00</w:t>
            </w:r>
            <w:r/>
          </w:p>
        </w:tc>
        <w:tc>
          <w:tcPr>
            <w:shd w:val="clear" w:color="auto" w:fill="auto"/>
            <w:tcBorders>
              <w:top w:val="single" w:color="auto" w:sz="6" w:space="0"/>
              <w:left w:val="single" w:color="auto" w:sz="6" w:space="0"/>
              <w:bottom w:val="single" w:color="auto" w:sz="6" w:space="0"/>
              <w:right w:val="single" w:color="auto" w:sz="6" w:space="0"/>
            </w:tcBorders>
            <w:tcW w:w="3607" w:type="pct"/>
            <w:vAlign w:val="center"/>
            <w:textDirection w:val="lrTb"/>
            <w:noWrap w:val="false"/>
          </w:tcPr>
          <w:p>
            <w:pPr>
              <w:jc w:val="left"/>
              <w:spacing w:after="0" w:afterAutospacing="0"/>
              <w:widowControl w:val="off"/>
              <w:rPr>
                <w:rFonts w:hint="default" w:ascii="Calibri" w:hAnsi="Calibri"/>
                <w:color w:val="auto"/>
                <w:sz w:val="21"/>
                <w:szCs w:val="22"/>
                <w:highlight w:val="none"/>
                <w:rtl w:val="0"/>
                <w:lang w:val="en-US" w:eastAsia="zh-CN" w:bidi="ar-SA"/>
              </w:rPr>
            </w:pPr>
            <w:r>
              <w:rPr>
                <w:rFonts w:hint="eastAsia"/>
                <w:color w:val="auto"/>
                <w:sz w:val="21"/>
                <w:szCs w:val="22"/>
                <w:highlight w:val="none"/>
                <w:rtl w:val="0"/>
                <w:lang w:val="en-US" w:eastAsia="zh-CN" w:bidi="ar-SA"/>
              </w:rPr>
              <w:t xml:space="preserve">供应商</w:t>
            </w:r>
            <w:r>
              <w:rPr>
                <w:rFonts w:hint="default" w:ascii="Calibri" w:hAnsi="Calibri"/>
                <w:color w:val="auto"/>
                <w:sz w:val="21"/>
                <w:szCs w:val="22"/>
                <w:highlight w:val="none"/>
                <w:rtl w:val="0"/>
                <w:lang w:val="en-US" w:eastAsia="zh-CN" w:bidi="ar-SA"/>
              </w:rPr>
              <w:t xml:space="preserve">总公司经中国银行保险监督管理委员会评定风险综合评级</w:t>
            </w:r>
            <w:r>
              <w:rPr>
                <w:rFonts w:hint="eastAsia"/>
                <w:color w:val="auto"/>
                <w:sz w:val="21"/>
                <w:szCs w:val="22"/>
                <w:highlight w:val="none"/>
                <w:rtl w:val="0"/>
                <w:lang w:val="en-US" w:eastAsia="zh-CN" w:bidi="ar-SA"/>
              </w:rPr>
              <w:t xml:space="preserve">:评级为A类（含AAA级、AA级、A级）</w:t>
            </w:r>
            <w:r>
              <w:rPr>
                <w:rFonts w:hint="default" w:ascii="Calibri" w:hAnsi="Calibri"/>
                <w:color w:val="auto"/>
                <w:sz w:val="21"/>
                <w:szCs w:val="22"/>
                <w:highlight w:val="none"/>
                <w:rtl w:val="0"/>
                <w:lang w:val="en-US" w:eastAsia="zh-CN" w:bidi="ar-SA"/>
              </w:rPr>
              <w:t xml:space="preserve">的得</w:t>
            </w:r>
            <w:r>
              <w:rPr>
                <w:rFonts w:hint="eastAsia"/>
                <w:color w:val="auto"/>
                <w:sz w:val="21"/>
                <w:szCs w:val="22"/>
                <w:highlight w:val="none"/>
                <w:rtl w:val="0"/>
                <w:lang w:val="en-US" w:eastAsia="zh-CN" w:bidi="ar-SA"/>
              </w:rPr>
              <w:t xml:space="preserve">3</w:t>
            </w:r>
            <w:r>
              <w:rPr>
                <w:rFonts w:hint="default" w:ascii="Calibri" w:hAnsi="Calibri"/>
                <w:color w:val="auto"/>
                <w:sz w:val="21"/>
                <w:szCs w:val="22"/>
                <w:highlight w:val="none"/>
                <w:rtl w:val="0"/>
                <w:lang w:val="en-US" w:eastAsia="zh-CN" w:bidi="ar-SA"/>
              </w:rPr>
              <w:t xml:space="preserve">分，</w:t>
            </w:r>
            <w:r>
              <w:rPr>
                <w:rFonts w:hint="eastAsia"/>
                <w:color w:val="auto"/>
                <w:sz w:val="21"/>
                <w:szCs w:val="22"/>
                <w:highlight w:val="none"/>
                <w:rtl w:val="0"/>
                <w:lang w:val="en-US" w:eastAsia="zh-CN" w:bidi="ar-SA"/>
              </w:rPr>
              <w:t xml:space="preserve">评级为B类（BBB、BB、B）</w:t>
            </w:r>
            <w:r>
              <w:rPr>
                <w:rFonts w:hint="default" w:ascii="Calibri" w:hAnsi="Calibri"/>
                <w:color w:val="auto"/>
                <w:sz w:val="21"/>
                <w:szCs w:val="22"/>
                <w:highlight w:val="none"/>
                <w:rtl w:val="0"/>
                <w:lang w:val="en-US" w:eastAsia="zh-CN" w:bidi="ar-SA"/>
              </w:rPr>
              <w:t xml:space="preserve">的得</w:t>
            </w:r>
            <w:r>
              <w:rPr>
                <w:rFonts w:hint="eastAsia"/>
                <w:color w:val="auto"/>
                <w:sz w:val="21"/>
                <w:szCs w:val="22"/>
                <w:highlight w:val="none"/>
                <w:rtl w:val="0"/>
                <w:lang w:val="en-US" w:eastAsia="zh-CN" w:bidi="ar-SA"/>
              </w:rPr>
              <w:t xml:space="preserve">1</w:t>
            </w:r>
            <w:r>
              <w:rPr>
                <w:rFonts w:hint="default" w:ascii="Calibri" w:hAnsi="Calibri"/>
                <w:color w:val="auto"/>
                <w:sz w:val="21"/>
                <w:szCs w:val="22"/>
                <w:highlight w:val="none"/>
                <w:rtl w:val="0"/>
                <w:lang w:val="en-US" w:eastAsia="zh-CN" w:bidi="ar-SA"/>
              </w:rPr>
              <w:t xml:space="preserve">分</w:t>
            </w:r>
            <w:r>
              <w:rPr>
                <w:rFonts w:hint="eastAsia"/>
                <w:color w:val="auto"/>
                <w:sz w:val="21"/>
                <w:szCs w:val="22"/>
                <w:highlight w:val="none"/>
                <w:rtl w:val="0"/>
                <w:lang w:val="en-US" w:eastAsia="zh-CN" w:bidi="ar-SA"/>
              </w:rPr>
              <w:t xml:space="preserve">,评级为CCC级及以下不得分</w:t>
            </w:r>
            <w:r>
              <w:rPr>
                <w:rFonts w:hint="default" w:ascii="Calibri" w:hAnsi="Calibri"/>
                <w:color w:val="auto"/>
                <w:sz w:val="21"/>
                <w:szCs w:val="22"/>
                <w:highlight w:val="none"/>
                <w:rtl w:val="0"/>
                <w:lang w:val="en-US" w:eastAsia="zh-CN" w:bidi="ar-SA"/>
              </w:rPr>
              <w:t xml:space="preserve">。需提供</w:t>
            </w:r>
            <w:r>
              <w:rPr>
                <w:rFonts w:hint="default" w:ascii="Calibri" w:hAnsi="Calibri"/>
                <w:color w:val="auto"/>
                <w:sz w:val="21"/>
                <w:szCs w:val="22"/>
                <w:highlight w:val="none"/>
                <w:rtl w:val="0"/>
                <w:lang w:val="en-US" w:eastAsia="zh-CN" w:bidi="ar-SA"/>
              </w:rPr>
              <w:t xml:space="preserve">2024年第4季度C</w:t>
            </w:r>
            <w:r>
              <w:rPr>
                <w:rFonts w:hint="eastAsia"/>
                <w:color w:val="auto"/>
                <w:sz w:val="21"/>
                <w:szCs w:val="22"/>
                <w:highlight w:val="none"/>
                <w:rtl w:val="0"/>
                <w:lang w:val="en-US" w:eastAsia="zh-CN" w:bidi="ar-SA"/>
              </w:rPr>
              <w:t xml:space="preserve">-</w:t>
            </w:r>
            <w:r>
              <w:rPr>
                <w:rFonts w:hint="default" w:ascii="Calibri" w:hAnsi="Calibri"/>
                <w:color w:val="auto"/>
                <w:sz w:val="21"/>
                <w:szCs w:val="22"/>
                <w:highlight w:val="none"/>
                <w:rtl w:val="0"/>
                <w:lang w:val="en-US" w:eastAsia="zh-CN" w:bidi="ar-SA"/>
              </w:rPr>
              <w:t xml:space="preserve">ROS</w:t>
            </w:r>
            <w:r>
              <w:rPr>
                <w:rFonts w:hint="eastAsia"/>
                <w:color w:val="auto"/>
                <w:sz w:val="21"/>
                <w:szCs w:val="22"/>
                <w:highlight w:val="none"/>
                <w:rtl w:val="0"/>
                <w:lang w:val="en-US" w:eastAsia="zh-CN" w:bidi="ar-SA"/>
              </w:rPr>
              <w:t xml:space="preserve">S</w:t>
            </w:r>
            <w:r>
              <w:rPr>
                <w:rFonts w:hint="default" w:ascii="Calibri" w:hAnsi="Calibri"/>
                <w:color w:val="auto"/>
                <w:sz w:val="21"/>
                <w:szCs w:val="22"/>
                <w:highlight w:val="none"/>
                <w:rtl w:val="0"/>
                <w:lang w:val="en-US" w:eastAsia="zh-CN" w:bidi="ar-SA"/>
              </w:rPr>
              <w:t xml:space="preserve">国家金融监督管理总局偿付能力监管信息系统截屏</w:t>
            </w:r>
            <w:r>
              <w:rPr>
                <w:rFonts w:hint="eastAsia"/>
                <w:color w:val="auto"/>
                <w:sz w:val="21"/>
                <w:szCs w:val="22"/>
                <w:highlight w:val="none"/>
                <w:rtl w:val="0"/>
                <w:lang w:val="en-US" w:eastAsia="zh-CN" w:bidi="ar-SA"/>
              </w:rPr>
              <w:t xml:space="preserve">加盖供应商</w:t>
            </w:r>
            <w:r>
              <w:rPr>
                <w:rFonts w:hint="default" w:ascii="Calibri" w:hAnsi="Calibri"/>
                <w:color w:val="auto"/>
                <w:sz w:val="21"/>
                <w:szCs w:val="22"/>
                <w:highlight w:val="none"/>
                <w:rtl w:val="0"/>
                <w:lang w:val="en-US" w:eastAsia="zh-CN" w:bidi="ar-SA"/>
              </w:rPr>
              <w:t xml:space="preserve">公章。</w:t>
            </w:r>
            <w:r/>
          </w:p>
        </w:tc>
      </w:tr>
      <w:tr>
        <w:trPr/>
        <w:tc>
          <w:tcPr>
            <w:tcBorders>
              <w:top w:val="single" w:color="auto" w:sz="6" w:space="0"/>
              <w:left w:val="single" w:color="auto" w:sz="6" w:space="0"/>
              <w:bottom w:val="single" w:color="auto" w:sz="6" w:space="0"/>
              <w:right w:val="single" w:color="auto" w:sz="6" w:space="0"/>
            </w:tcBorders>
            <w:tcW w:w="402" w:type="pct"/>
            <w:vAlign w:val="center"/>
            <w:vMerge w:val="restart"/>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项目实施方案</w:t>
            </w:r>
            <w:r/>
          </w:p>
        </w:tc>
        <w:tc>
          <w:tcPr>
            <w:tcBorders>
              <w:top w:val="single" w:color="auto" w:sz="6" w:space="0"/>
              <w:left w:val="single" w:color="auto" w:sz="6" w:space="0"/>
              <w:bottom w:val="single" w:color="auto" w:sz="6" w:space="0"/>
              <w:right w:val="single" w:color="auto" w:sz="6" w:space="0"/>
            </w:tcBorders>
            <w:tcW w:w="573" w:type="pct"/>
            <w:vAlign w:val="center"/>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承保服务</w:t>
            </w:r>
            <w:r/>
          </w:p>
        </w:tc>
        <w:tc>
          <w:tcPr>
            <w:tcBorders>
              <w:top w:val="single" w:color="auto" w:sz="6" w:space="0"/>
              <w:left w:val="single" w:color="auto" w:sz="6" w:space="0"/>
              <w:bottom w:val="single" w:color="auto" w:sz="6" w:space="0"/>
              <w:right w:val="single" w:color="auto" w:sz="6" w:space="0"/>
            </w:tcBorders>
            <w:tcW w:w="415" w:type="pct"/>
            <w:vAlign w:val="center"/>
            <w:textDirection w:val="lrTb"/>
            <w:noWrap w:val="false"/>
          </w:tcPr>
          <w:p>
            <w:pPr>
              <w:jc w:val="center"/>
              <w:spacing w:after="0" w:afterAutospacing="0"/>
              <w:widowControl w:val="off"/>
              <w:rPr>
                <w:rFonts w:ascii="Calibri" w:hAnsi="Calibri"/>
                <w:color w:val="auto"/>
                <w:sz w:val="21"/>
                <w:szCs w:val="22"/>
                <w:highlight w:val="none"/>
                <w:lang w:val="en-US" w:eastAsia="zh-CN" w:bidi="ar-SA"/>
              </w:rPr>
            </w:pPr>
            <w:r>
              <w:rPr>
                <w:rFonts w:hint="eastAsia"/>
                <w:color w:val="auto"/>
                <w:sz w:val="21"/>
                <w:szCs w:val="22"/>
                <w:highlight w:val="none"/>
                <w:rtl w:val="0"/>
                <w:lang w:val="en-US" w:eastAsia="zh-CN" w:bidi="ar-SA"/>
              </w:rPr>
              <w:t xml:space="preserve">6</w:t>
            </w:r>
            <w:r>
              <w:rPr>
                <w:rFonts w:ascii="Calibri" w:hAnsi="Calibri"/>
                <w:color w:val="auto"/>
                <w:sz w:val="21"/>
                <w:szCs w:val="22"/>
                <w:highlight w:val="none"/>
                <w:rtl w:val="0"/>
                <w:lang w:val="en-US" w:eastAsia="zh-CN" w:bidi="ar-SA"/>
              </w:rPr>
              <w:t xml:space="preserve">.00</w:t>
            </w:r>
            <w:r/>
          </w:p>
        </w:tc>
        <w:tc>
          <w:tcPr>
            <w:tcBorders>
              <w:top w:val="single" w:color="auto" w:sz="6" w:space="0"/>
              <w:left w:val="single" w:color="auto" w:sz="6" w:space="0"/>
              <w:bottom w:val="single" w:color="auto" w:sz="6" w:space="0"/>
              <w:right w:val="single" w:color="auto" w:sz="6" w:space="0"/>
            </w:tcBorders>
            <w:tcW w:w="3607" w:type="pct"/>
            <w:vAlign w:val="center"/>
            <w:textDirection w:val="lrTb"/>
            <w:noWrap w:val="false"/>
          </w:tcPr>
          <w:p>
            <w:pPr>
              <w:numPr>
                <w:ilvl w:val="0"/>
                <w:numId w:val="0"/>
              </w:numPr>
              <w:jc w:val="left"/>
              <w:spacing w:after="0" w:afterAutospacing="0"/>
              <w:widowControl w:val="off"/>
              <w:rPr>
                <w:rFonts w:ascii="Calibri" w:hAnsi="Calibri"/>
                <w:color w:val="auto"/>
                <w:sz w:val="21"/>
                <w:szCs w:val="22"/>
                <w:highlight w:val="none"/>
                <w:rtl w:val="0"/>
                <w:lang w:val="en-US" w:eastAsia="zh-CN" w:bidi="ar-SA"/>
              </w:rPr>
            </w:pPr>
            <w:r>
              <w:rPr>
                <w:rFonts w:hint="eastAsia"/>
                <w:color w:val="auto"/>
                <w:sz w:val="21"/>
                <w:szCs w:val="22"/>
                <w:highlight w:val="none"/>
                <w:rtl w:val="0"/>
                <w:lang w:val="en-US" w:eastAsia="zh-CN" w:bidi="ar-SA"/>
              </w:rPr>
              <w:t xml:space="preserve">供应商</w:t>
            </w:r>
            <w:r>
              <w:rPr>
                <w:rFonts w:ascii="Calibri" w:hAnsi="Calibri"/>
                <w:color w:val="auto"/>
                <w:sz w:val="21"/>
                <w:szCs w:val="22"/>
                <w:highlight w:val="none"/>
                <w:rtl w:val="0"/>
                <w:lang w:val="en-US" w:eastAsia="zh-CN" w:bidi="ar-SA"/>
              </w:rPr>
              <w:t xml:space="preserve">提供的承保服务</w:t>
            </w:r>
            <w:r>
              <w:rPr>
                <w:rFonts w:hint="eastAsia"/>
                <w:color w:val="auto"/>
                <w:sz w:val="21"/>
                <w:szCs w:val="22"/>
                <w:highlight w:val="none"/>
                <w:rtl w:val="0"/>
                <w:lang w:val="en-US" w:eastAsia="zh-CN" w:bidi="ar-SA"/>
              </w:rPr>
              <w:t xml:space="preserve">方案：</w:t>
            </w:r>
            <w:r>
              <w:rPr>
                <w:rFonts w:ascii="Calibri" w:hAnsi="Calibri"/>
                <w:color w:val="auto"/>
                <w:sz w:val="21"/>
                <w:szCs w:val="22"/>
                <w:highlight w:val="none"/>
                <w:rtl w:val="0"/>
                <w:lang w:val="en-US" w:eastAsia="zh-CN" w:bidi="ar-SA"/>
              </w:rPr>
              <w:t xml:space="preserve">操作模式专业性高，承保服务计划详细有利于被保险人，服务流程清晰，优于采购需求的得6分；承保服务操作模式专业性较高，承保服务计划较详细，服务流程比较清晰，满足采购需求的得4分；承保服务操作模式专业性一般，承保服务计划粗略，服务流程不清晰，基本满足采购需求的得1分；没有内容不得分。</w:t>
            </w:r>
            <w:r/>
          </w:p>
        </w:tc>
      </w:tr>
      <w:tr>
        <w:trPr/>
        <w:tc>
          <w:tcPr>
            <w:tcBorders>
              <w:left w:val="single" w:color="auto" w:sz="6" w:space="0"/>
              <w:right w:val="single" w:color="auto" w:sz="6" w:space="0"/>
            </w:tcBorders>
            <w:tcW w:w="402" w:type="pct"/>
            <w:vAlign w:val="center"/>
            <w:vMerge w:val="continue"/>
            <w:textDirection w:val="lrTb"/>
            <w:noWrap w:val="false"/>
          </w:tcPr>
          <w:p>
            <w:pPr>
              <w:jc w:val="left"/>
              <w:spacing w:after="0" w:afterAutospacing="0"/>
              <w:widowControl w:val="off"/>
              <w:rPr>
                <w:rFonts w:ascii="Calibri" w:hAnsi="Calibri"/>
                <w:color w:val="auto"/>
                <w:sz w:val="21"/>
                <w:szCs w:val="22"/>
                <w:highlight w:val="none"/>
                <w:rtl w:val="0"/>
                <w:lang w:val="en-US" w:eastAsia="zh-CN" w:bidi="ar-SA"/>
              </w:rPr>
            </w:pPr>
            <w:r>
              <w:rPr>
                <w:rFonts w:ascii="Calibri" w:hAnsi="Calibri"/>
                <w:color w:val="auto"/>
                <w:sz w:val="21"/>
                <w:szCs w:val="22"/>
                <w:highlight w:val="none"/>
                <w:rtl w:val="0"/>
                <w:lang w:val="en-US" w:eastAsia="zh-CN" w:bidi="ar-SA"/>
              </w:rPr>
            </w:r>
            <w:r/>
          </w:p>
        </w:tc>
        <w:tc>
          <w:tcPr>
            <w:tcBorders>
              <w:top w:val="single" w:color="auto" w:sz="6" w:space="0"/>
              <w:left w:val="single" w:color="auto" w:sz="6" w:space="0"/>
              <w:bottom w:val="single" w:color="auto" w:sz="6" w:space="0"/>
              <w:right w:val="single" w:color="auto" w:sz="6" w:space="0"/>
            </w:tcBorders>
            <w:tcW w:w="573" w:type="pct"/>
            <w:vAlign w:val="center"/>
            <w:textDirection w:val="lrTb"/>
            <w:noWrap w:val="false"/>
          </w:tcPr>
          <w:p>
            <w:pPr>
              <w:jc w:val="left"/>
              <w:spacing w:after="0" w:afterAutospacing="0"/>
              <w:widowControl w:val="off"/>
              <w:rPr>
                <w:rFonts w:ascii="Calibri" w:hAnsi="Calibri" w:eastAsia="宋体" w:cs="Times New Roman"/>
                <w:color w:val="auto"/>
                <w:sz w:val="21"/>
                <w:szCs w:val="22"/>
                <w:highlight w:val="none"/>
                <w:rtl w:val="0"/>
                <w:lang w:val="en-US" w:eastAsia="zh-CN" w:bidi="ar-SA"/>
              </w:rPr>
            </w:pPr>
            <w:r>
              <w:rPr>
                <w:rFonts w:hint="eastAsia" w:ascii="Calibri" w:hAnsi="Calibri" w:eastAsia="宋体" w:cs="Times New Roman"/>
                <w:color w:val="auto"/>
                <w:sz w:val="21"/>
                <w:szCs w:val="22"/>
                <w:highlight w:val="none"/>
                <w:rtl w:val="0"/>
                <w:lang w:val="en-US" w:eastAsia="zh-CN" w:bidi="ar-SA"/>
              </w:rPr>
              <w:t xml:space="preserve">应急预案</w:t>
            </w:r>
            <w:r/>
          </w:p>
        </w:tc>
        <w:tc>
          <w:tcPr>
            <w:tcBorders>
              <w:top w:val="single" w:color="auto" w:sz="6" w:space="0"/>
              <w:left w:val="single" w:color="auto" w:sz="6" w:space="0"/>
              <w:bottom w:val="single" w:color="auto" w:sz="6" w:space="0"/>
              <w:right w:val="single" w:color="auto" w:sz="6" w:space="0"/>
            </w:tcBorders>
            <w:tcW w:w="415" w:type="pct"/>
            <w:vAlign w:val="center"/>
            <w:textDirection w:val="lrTb"/>
            <w:noWrap w:val="false"/>
          </w:tcPr>
          <w:p>
            <w:pPr>
              <w:jc w:val="center"/>
              <w:spacing w:after="0" w:afterAutospacing="0"/>
              <w:widowControl w:val="off"/>
              <w:rPr>
                <w:rFonts w:hint="default" w:ascii="Calibri" w:hAnsi="Calibri" w:eastAsia="宋体" w:cs="Times New Roman"/>
                <w:color w:val="auto"/>
                <w:sz w:val="21"/>
                <w:szCs w:val="22"/>
                <w:highlight w:val="none"/>
                <w:rtl w:val="0"/>
                <w:lang w:val="en-US" w:eastAsia="zh-CN" w:bidi="ar-SA"/>
              </w:rPr>
            </w:pPr>
            <w:r>
              <w:rPr>
                <w:rFonts w:hint="eastAsia" w:cs="Times New Roman"/>
                <w:color w:val="auto"/>
                <w:sz w:val="21"/>
                <w:szCs w:val="22"/>
                <w:highlight w:val="none"/>
                <w:rtl w:val="0"/>
                <w:lang w:val="en-US" w:eastAsia="zh-CN" w:bidi="ar-SA"/>
              </w:rPr>
              <w:t xml:space="preserve">5</w:t>
            </w:r>
            <w:r>
              <w:rPr>
                <w:rFonts w:hint="eastAsia" w:ascii="Calibri" w:hAnsi="Calibri" w:eastAsia="宋体" w:cs="Times New Roman"/>
                <w:color w:val="auto"/>
                <w:sz w:val="21"/>
                <w:szCs w:val="22"/>
                <w:highlight w:val="none"/>
                <w:rtl w:val="0"/>
                <w:lang w:val="en-US" w:eastAsia="zh-CN" w:bidi="ar-SA"/>
              </w:rPr>
              <w:t xml:space="preserve">.00</w:t>
            </w:r>
            <w:r/>
          </w:p>
        </w:tc>
        <w:tc>
          <w:tcPr>
            <w:shd w:val="clear" w:color="auto" w:fill="auto"/>
            <w:tcBorders>
              <w:top w:val="single" w:color="auto" w:sz="6" w:space="0"/>
              <w:left w:val="single" w:color="auto" w:sz="6" w:space="0"/>
              <w:bottom w:val="single" w:color="auto" w:sz="6" w:space="0"/>
              <w:right w:val="single" w:color="auto" w:sz="6" w:space="0"/>
            </w:tcBorders>
            <w:tcW w:w="3607" w:type="pct"/>
            <w:vAlign w:val="center"/>
            <w:textDirection w:val="lrTb"/>
            <w:noWrap w:val="false"/>
          </w:tcPr>
          <w:p>
            <w:pPr>
              <w:jc w:val="left"/>
              <w:spacing w:after="0" w:afterAutospacing="0"/>
              <w:widowControl w:val="off"/>
              <w:rPr>
                <w:rFonts w:hint="eastAsia" w:ascii="Calibri" w:hAnsi="Calibri" w:eastAsia="宋体" w:cs="Times New Roman"/>
                <w:color w:val="auto"/>
                <w:sz w:val="21"/>
                <w:szCs w:val="22"/>
                <w:highlight w:val="none"/>
                <w:rtl w:val="0"/>
                <w:lang w:val="en-US" w:eastAsia="zh-CN" w:bidi="ar-SA"/>
              </w:rPr>
            </w:pPr>
            <w:r>
              <w:rPr>
                <w:rFonts w:hint="eastAsia" w:cs="Times New Roman"/>
                <w:color w:val="auto"/>
                <w:sz w:val="21"/>
                <w:szCs w:val="22"/>
                <w:highlight w:val="none"/>
                <w:rtl w:val="0"/>
                <w:lang w:val="en-US" w:eastAsia="zh-CN" w:bidi="ar-SA"/>
              </w:rPr>
              <w:t xml:space="preserve">供应商</w:t>
            </w:r>
            <w:r>
              <w:rPr>
                <w:rFonts w:hint="eastAsia" w:ascii="Calibri" w:hAnsi="Calibri" w:eastAsia="宋体" w:cs="Times New Roman"/>
                <w:color w:val="auto"/>
                <w:sz w:val="21"/>
                <w:szCs w:val="22"/>
                <w:highlight w:val="none"/>
                <w:rtl w:val="0"/>
                <w:lang w:val="en-US" w:eastAsia="zh-CN" w:bidi="ar-SA"/>
              </w:rPr>
              <w:t xml:space="preserve">提供应急预案包括但不限于建立应急预案管理，就突发意外事故建立应急方案。方案阐述完整详细，专业、安全且优于采购需求的得</w:t>
            </w:r>
            <w:r>
              <w:rPr>
                <w:rFonts w:hint="eastAsia" w:cs="Times New Roman"/>
                <w:color w:val="auto"/>
                <w:sz w:val="21"/>
                <w:szCs w:val="22"/>
                <w:highlight w:val="none"/>
                <w:rtl w:val="0"/>
                <w:lang w:val="en-US" w:eastAsia="zh-CN" w:bidi="ar-SA"/>
              </w:rPr>
              <w:t xml:space="preserve">5</w:t>
            </w:r>
            <w:r>
              <w:rPr>
                <w:rFonts w:hint="eastAsia" w:ascii="Calibri" w:hAnsi="Calibri" w:eastAsia="宋体" w:cs="Times New Roman"/>
                <w:color w:val="auto"/>
                <w:sz w:val="21"/>
                <w:szCs w:val="22"/>
                <w:highlight w:val="none"/>
                <w:rtl w:val="0"/>
                <w:lang w:val="en-US" w:eastAsia="zh-CN" w:bidi="ar-SA"/>
              </w:rPr>
              <w:t xml:space="preserve">分；方案阐述较完整，具有一定专业性，能够满足采购需求的得3分；方案有所欠缺，但承诺经过优化可实现采购需求的得1分；没有内容不得分。</w:t>
            </w:r>
            <w:r/>
          </w:p>
        </w:tc>
      </w:tr>
      <w:tr>
        <w:trPr/>
        <w:tc>
          <w:tcPr>
            <w:tcBorders>
              <w:top w:val="single" w:color="auto" w:sz="6" w:space="0"/>
              <w:left w:val="single" w:color="auto" w:sz="6" w:space="0"/>
              <w:bottom w:val="single" w:color="auto" w:sz="6" w:space="0"/>
              <w:right w:val="single" w:color="auto" w:sz="6" w:space="0"/>
            </w:tcBorders>
            <w:tcW w:w="402" w:type="pct"/>
            <w:vAlign w:val="center"/>
            <w:vMerge w:val="continue"/>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573" w:type="pct"/>
            <w:vAlign w:val="center"/>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项目组人员</w:t>
            </w:r>
            <w:r/>
          </w:p>
        </w:tc>
        <w:tc>
          <w:tcPr>
            <w:tcBorders>
              <w:top w:val="single" w:color="auto" w:sz="6" w:space="0"/>
              <w:left w:val="single" w:color="auto" w:sz="6" w:space="0"/>
              <w:bottom w:val="single" w:color="auto" w:sz="6" w:space="0"/>
              <w:right w:val="single" w:color="auto" w:sz="6" w:space="0"/>
            </w:tcBorders>
            <w:tcW w:w="415" w:type="pct"/>
            <w:vAlign w:val="center"/>
            <w:textDirection w:val="lrTb"/>
            <w:noWrap w:val="false"/>
          </w:tcPr>
          <w:p>
            <w:pPr>
              <w:jc w:val="center"/>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7.00</w:t>
            </w:r>
            <w:r/>
          </w:p>
        </w:tc>
        <w:tc>
          <w:tcPr>
            <w:tcBorders>
              <w:top w:val="single" w:color="auto" w:sz="6" w:space="0"/>
              <w:left w:val="single" w:color="auto" w:sz="6" w:space="0"/>
              <w:bottom w:val="single" w:color="auto" w:sz="6" w:space="0"/>
              <w:right w:val="single" w:color="auto" w:sz="6" w:space="0"/>
            </w:tcBorders>
            <w:tcW w:w="3607" w:type="pct"/>
            <w:vAlign w:val="center"/>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hint="eastAsia"/>
                <w:color w:val="auto"/>
                <w:sz w:val="21"/>
                <w:szCs w:val="22"/>
                <w:highlight w:val="none"/>
                <w:rtl w:val="0"/>
                <w:lang w:val="en-US" w:eastAsia="zh-CN" w:bidi="ar-SA"/>
              </w:rPr>
              <w:t xml:space="preserve">供应商</w:t>
            </w:r>
            <w:r>
              <w:rPr>
                <w:rFonts w:ascii="Calibri" w:hAnsi="Calibri"/>
                <w:color w:val="auto"/>
                <w:sz w:val="21"/>
                <w:szCs w:val="22"/>
                <w:highlight w:val="none"/>
                <w:rtl w:val="0"/>
                <w:lang w:val="en-US" w:eastAsia="zh-CN" w:bidi="ar-SA"/>
              </w:rPr>
              <w:t xml:space="preserve">成立专项服务团队，由</w:t>
            </w:r>
            <w:r>
              <w:rPr>
                <w:rFonts w:hint="eastAsia"/>
                <w:color w:val="auto"/>
                <w:sz w:val="21"/>
                <w:szCs w:val="22"/>
                <w:highlight w:val="none"/>
                <w:rtl w:val="0"/>
                <w:lang w:val="en-US" w:eastAsia="zh-CN" w:bidi="ar-SA"/>
              </w:rPr>
              <w:t xml:space="preserve">供应商</w:t>
            </w:r>
            <w:r>
              <w:rPr>
                <w:rFonts w:ascii="Calibri" w:hAnsi="Calibri"/>
                <w:color w:val="auto"/>
                <w:sz w:val="21"/>
                <w:szCs w:val="22"/>
                <w:highlight w:val="none"/>
                <w:rtl w:val="0"/>
                <w:lang w:val="en-US" w:eastAsia="zh-CN" w:bidi="ar-SA"/>
              </w:rPr>
              <w:t xml:space="preserve">机构副总以上领导担任组长；配备服务团队不少于10人，得7分；5（含）-10人</w:t>
            </w:r>
            <w:r>
              <w:rPr>
                <w:rFonts w:hint="eastAsia"/>
                <w:color w:val="auto"/>
                <w:sz w:val="21"/>
                <w:szCs w:val="22"/>
                <w:highlight w:val="none"/>
                <w:rtl w:val="0"/>
                <w:lang w:val="en-US" w:eastAsia="zh-CN" w:bidi="ar-SA"/>
              </w:rPr>
              <w:t xml:space="preserve">，</w:t>
            </w:r>
            <w:r>
              <w:rPr>
                <w:rFonts w:ascii="Calibri" w:hAnsi="Calibri"/>
                <w:color w:val="auto"/>
                <w:sz w:val="21"/>
                <w:szCs w:val="22"/>
                <w:highlight w:val="none"/>
                <w:rtl w:val="0"/>
                <w:lang w:val="en-US" w:eastAsia="zh-CN" w:bidi="ar-SA"/>
              </w:rPr>
              <w:t xml:space="preserve">得4分；3 （含）-5人，得1分；不足3人不得分。（团队人员需为正式员工，在本项目服务期内应保持稳定，</w:t>
            </w:r>
            <w:r>
              <w:rPr>
                <w:rFonts w:ascii="Calibri" w:hAnsi="Calibri"/>
                <w:color w:val="auto"/>
                <w:sz w:val="21"/>
                <w:szCs w:val="22"/>
                <w:highlight w:val="none"/>
                <w:rtl w:val="0"/>
                <w:lang w:val="en-US" w:eastAsia="zh-CN" w:bidi="ar-SA"/>
              </w:rPr>
              <w:t xml:space="preserve">须提供</w:t>
            </w:r>
            <w:r>
              <w:rPr>
                <w:rFonts w:ascii="Calibri" w:hAnsi="Calibri"/>
                <w:color w:val="auto"/>
                <w:sz w:val="21"/>
                <w:szCs w:val="22"/>
                <w:highlight w:val="none"/>
                <w:rtl w:val="0"/>
                <w:lang w:val="en-US" w:eastAsia="zh-CN" w:bidi="ar-SA"/>
              </w:rPr>
              <w:t xml:space="preserve">202</w:t>
            </w:r>
            <w:r>
              <w:rPr>
                <w:rFonts w:hint="eastAsia"/>
                <w:color w:val="auto"/>
                <w:sz w:val="21"/>
                <w:szCs w:val="22"/>
                <w:highlight w:val="none"/>
                <w:rtl w:val="0"/>
                <w:lang w:val="en-US" w:eastAsia="zh-CN" w:bidi="ar-SA"/>
              </w:rPr>
              <w:t xml:space="preserve">5</w:t>
            </w:r>
            <w:r>
              <w:rPr>
                <w:rFonts w:ascii="Calibri" w:hAnsi="Calibri"/>
                <w:color w:val="auto"/>
                <w:sz w:val="21"/>
                <w:szCs w:val="22"/>
                <w:highlight w:val="none"/>
                <w:rtl w:val="0"/>
                <w:lang w:val="en-US" w:eastAsia="zh-CN" w:bidi="ar-SA"/>
              </w:rPr>
              <w:t xml:space="preserve">年</w:t>
            </w:r>
            <w:r>
              <w:rPr>
                <w:rFonts w:hint="eastAsia"/>
                <w:color w:val="auto"/>
                <w:sz w:val="21"/>
                <w:szCs w:val="22"/>
                <w:highlight w:val="none"/>
                <w:rtl w:val="0"/>
                <w:lang w:val="en-US" w:eastAsia="zh-CN" w:bidi="ar-SA"/>
              </w:rPr>
              <w:t xml:space="preserve">6</w:t>
            </w:r>
            <w:r>
              <w:rPr>
                <w:rFonts w:ascii="Calibri" w:hAnsi="Calibri"/>
                <w:color w:val="auto"/>
                <w:sz w:val="21"/>
                <w:szCs w:val="22"/>
                <w:highlight w:val="none"/>
                <w:rtl w:val="0"/>
                <w:lang w:val="en-US" w:eastAsia="zh-CN" w:bidi="ar-SA"/>
              </w:rPr>
              <w:t xml:space="preserve">月以来</w:t>
            </w:r>
            <w:r>
              <w:rPr>
                <w:rFonts w:hint="eastAsia"/>
                <w:color w:val="auto"/>
                <w:sz w:val="21"/>
                <w:szCs w:val="22"/>
                <w:highlight w:val="none"/>
                <w:rtl w:val="0"/>
                <w:lang w:val="en-US" w:eastAsia="zh-CN" w:bidi="ar-SA"/>
              </w:rPr>
              <w:t xml:space="preserve">供应商</w:t>
            </w:r>
            <w:r>
              <w:rPr>
                <w:rFonts w:ascii="Calibri" w:hAnsi="Calibri"/>
                <w:color w:val="auto"/>
                <w:sz w:val="21"/>
                <w:szCs w:val="22"/>
                <w:highlight w:val="none"/>
                <w:rtl w:val="0"/>
                <w:lang w:val="en-US" w:eastAsia="zh-CN" w:bidi="ar-SA"/>
              </w:rPr>
              <w:t xml:space="preserve">为其缴纳的任意</w:t>
            </w:r>
            <w:r>
              <w:rPr>
                <w:rFonts w:hint="eastAsia"/>
                <w:color w:val="auto"/>
                <w:sz w:val="21"/>
                <w:szCs w:val="22"/>
                <w:highlight w:val="none"/>
                <w:rtl w:val="0"/>
                <w:lang w:val="en-US" w:eastAsia="zh-CN" w:bidi="ar-SA"/>
              </w:rPr>
              <w:t xml:space="preserve">一</w:t>
            </w:r>
            <w:r>
              <w:rPr>
                <w:rFonts w:ascii="Calibri" w:hAnsi="Calibri"/>
                <w:color w:val="auto"/>
                <w:sz w:val="21"/>
                <w:szCs w:val="22"/>
                <w:highlight w:val="none"/>
                <w:rtl w:val="0"/>
                <w:lang w:val="en-US" w:eastAsia="zh-CN" w:bidi="ar-SA"/>
              </w:rPr>
              <w:t xml:space="preserve">个月的社保证明材料（社保证明材料以社保主管部门出具的证明原件扫描件为准或官网网上查询证明扫描件为准），不提供或提供不全不予计分。）</w:t>
            </w:r>
            <w:r/>
          </w:p>
        </w:tc>
      </w:tr>
      <w:tr>
        <w:trPr/>
        <w:tc>
          <w:tcPr>
            <w:tcBorders>
              <w:top w:val="single" w:color="auto" w:sz="6" w:space="0"/>
              <w:left w:val="single" w:color="auto" w:sz="6" w:space="0"/>
              <w:bottom w:val="single" w:color="auto" w:sz="6" w:space="0"/>
              <w:right w:val="single" w:color="auto" w:sz="6" w:space="0"/>
            </w:tcBorders>
            <w:tcW w:w="402" w:type="pct"/>
            <w:vAlign w:val="center"/>
            <w:vMerge w:val="continue"/>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573" w:type="pct"/>
            <w:vAlign w:val="center"/>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理赔服务</w:t>
            </w:r>
            <w:r/>
          </w:p>
        </w:tc>
        <w:tc>
          <w:tcPr>
            <w:tcBorders>
              <w:top w:val="single" w:color="auto" w:sz="6" w:space="0"/>
              <w:left w:val="single" w:color="auto" w:sz="6" w:space="0"/>
              <w:bottom w:val="single" w:color="auto" w:sz="6" w:space="0"/>
              <w:right w:val="single" w:color="auto" w:sz="6" w:space="0"/>
            </w:tcBorders>
            <w:tcW w:w="415" w:type="pct"/>
            <w:vAlign w:val="center"/>
            <w:textDirection w:val="lrTb"/>
            <w:noWrap w:val="false"/>
          </w:tcPr>
          <w:p>
            <w:pPr>
              <w:jc w:val="center"/>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15.00</w:t>
            </w:r>
            <w:r/>
          </w:p>
        </w:tc>
        <w:tc>
          <w:tcPr>
            <w:tcBorders>
              <w:top w:val="single" w:color="auto" w:sz="6" w:space="0"/>
              <w:left w:val="single" w:color="auto" w:sz="6" w:space="0"/>
              <w:bottom w:val="single" w:color="auto" w:sz="6" w:space="0"/>
              <w:right w:val="single" w:color="auto" w:sz="6" w:space="0"/>
            </w:tcBorders>
            <w:tcW w:w="3607" w:type="pct"/>
            <w:vAlign w:val="center"/>
            <w:textDirection w:val="lrTb"/>
            <w:noWrap w:val="false"/>
          </w:tcPr>
          <w:p>
            <w:pPr>
              <w:numPr>
                <w:ilvl w:val="0"/>
                <w:numId w:val="0"/>
              </w:numPr>
              <w:jc w:val="left"/>
              <w:spacing w:after="0" w:afterAutospacing="0"/>
              <w:widowControl w:val="off"/>
              <w:rPr>
                <w:rFonts w:ascii="Calibri" w:hAnsi="Calibri"/>
                <w:color w:val="auto"/>
                <w:sz w:val="21"/>
                <w:szCs w:val="22"/>
                <w:highlight w:val="none"/>
                <w:rtl w:val="0"/>
                <w:lang w:val="en-US" w:eastAsia="zh-CN" w:bidi="ar-SA"/>
              </w:rPr>
            </w:pPr>
            <w:r>
              <w:rPr>
                <w:rFonts w:hint="eastAsia"/>
                <w:color w:val="auto"/>
                <w:sz w:val="21"/>
                <w:szCs w:val="22"/>
                <w:highlight w:val="none"/>
                <w:rtl w:val="0"/>
                <w:lang w:val="en-US" w:eastAsia="zh-CN" w:bidi="ar-SA"/>
              </w:rPr>
              <w:t xml:space="preserve">1、</w:t>
            </w:r>
            <w:r>
              <w:rPr>
                <w:rFonts w:ascii="Calibri" w:hAnsi="Calibri"/>
                <w:color w:val="auto"/>
                <w:sz w:val="21"/>
                <w:szCs w:val="22"/>
                <w:highlight w:val="none"/>
                <w:rtl w:val="0"/>
                <w:lang w:val="en-US" w:eastAsia="zh-CN" w:bidi="ar-SA"/>
              </w:rPr>
              <w:t xml:space="preserve">建立理赔绿色通道</w:t>
            </w:r>
            <w:r>
              <w:rPr>
                <w:rFonts w:hint="eastAsia"/>
                <w:color w:val="auto"/>
                <w:sz w:val="21"/>
                <w:szCs w:val="22"/>
                <w:highlight w:val="none"/>
                <w:rtl w:val="0"/>
                <w:lang w:val="en-US" w:eastAsia="zh-CN" w:bidi="ar-SA"/>
              </w:rPr>
              <w:t xml:space="preserve">：</w:t>
            </w:r>
            <w:r>
              <w:rPr>
                <w:rFonts w:ascii="Calibri" w:hAnsi="Calibri"/>
                <w:color w:val="auto"/>
                <w:sz w:val="21"/>
                <w:szCs w:val="22"/>
                <w:highlight w:val="none"/>
                <w:rtl w:val="0"/>
                <w:lang w:val="en-US" w:eastAsia="zh-CN" w:bidi="ar-SA"/>
              </w:rPr>
              <w:t xml:space="preserve">24小时报案热线和专项服务人员联系方式，其中专项服务人员电话24小时开机（提供号码），承诺的得2分，未承诺的不得分。 </w:t>
            </w:r>
            <w:r/>
          </w:p>
          <w:p>
            <w:pPr>
              <w:numPr>
                <w:ilvl w:val="0"/>
                <w:numId w:val="0"/>
              </w:numPr>
              <w:jc w:val="left"/>
              <w:spacing w:after="0" w:afterAutospacing="0"/>
              <w:widowControl w:val="off"/>
              <w:rPr>
                <w:rFonts w:ascii="Calibri" w:hAnsi="Calibri"/>
                <w:color w:val="auto"/>
                <w:sz w:val="21"/>
                <w:szCs w:val="22"/>
                <w:highlight w:val="none"/>
                <w:rtl w:val="0"/>
                <w:lang w:val="en-US" w:eastAsia="zh-CN" w:bidi="ar-SA"/>
              </w:rPr>
            </w:pPr>
            <w:r>
              <w:rPr>
                <w:rFonts w:ascii="Calibri" w:hAnsi="Calibri"/>
                <w:color w:val="auto"/>
                <w:sz w:val="21"/>
                <w:szCs w:val="22"/>
                <w:highlight w:val="none"/>
                <w:rtl w:val="0"/>
                <w:lang w:val="en-US" w:eastAsia="zh-CN" w:bidi="ar-SA"/>
              </w:rPr>
              <w:t xml:space="preserve">2、理赔专家组及理赔服务措施</w:t>
            </w:r>
            <w:r>
              <w:rPr>
                <w:rFonts w:hint="eastAsia"/>
                <w:color w:val="auto"/>
                <w:sz w:val="21"/>
                <w:szCs w:val="22"/>
                <w:highlight w:val="none"/>
                <w:rtl w:val="0"/>
                <w:lang w:val="en-US" w:eastAsia="zh-CN" w:bidi="ar-SA"/>
              </w:rPr>
              <w:t xml:space="preserve">：</w:t>
            </w:r>
            <w:r>
              <w:rPr>
                <w:rFonts w:ascii="Calibri" w:hAnsi="Calibri"/>
                <w:color w:val="auto"/>
                <w:sz w:val="21"/>
                <w:szCs w:val="22"/>
                <w:highlight w:val="none"/>
                <w:rtl w:val="0"/>
                <w:lang w:val="en-US" w:eastAsia="zh-CN" w:bidi="ar-SA"/>
              </w:rPr>
              <w:t xml:space="preserve">有具体的专家组成人员说明及联系方式，能及时联系沟通并且专家组在案件处理上能够提高理赔服务措施，理赔服务措施内容详细具体，能完全体现理赔服务，得6分，有专家组成人员说明及联系方式并且专家组在案件处理上理赔服务措施内容完整，理赔服务措施内容较详细具体，能够完成理赔服务，得4分，有专家组成人员说明及联系方式并且专家组在案件处理上理赔服务措施内容有缺陷，不能具体体现理赔服务，优化后能够完成服务的得1分，未提供的不得分。本项最高得6分。 </w:t>
            </w:r>
            <w:r/>
          </w:p>
          <w:p>
            <w:pPr>
              <w:numPr>
                <w:ilvl w:val="0"/>
                <w:numId w:val="0"/>
              </w:numPr>
              <w:jc w:val="left"/>
              <w:spacing w:after="0" w:afterAutospacing="0"/>
              <w:widowControl w:val="off"/>
              <w:rPr>
                <w:rFonts w:ascii="Calibri" w:hAnsi="Calibri"/>
                <w:color w:val="auto"/>
                <w:sz w:val="21"/>
                <w:szCs w:val="22"/>
                <w:highlight w:val="none"/>
                <w:rtl w:val="0"/>
                <w:lang w:val="en-US" w:eastAsia="zh-CN" w:bidi="ar-SA"/>
              </w:rPr>
            </w:pPr>
            <w:r>
              <w:rPr>
                <w:rFonts w:ascii="Calibri" w:hAnsi="Calibri"/>
                <w:color w:val="auto"/>
                <w:sz w:val="21"/>
                <w:szCs w:val="22"/>
                <w:highlight w:val="none"/>
                <w:rtl w:val="0"/>
                <w:lang w:val="en-US" w:eastAsia="zh-CN" w:bidi="ar-SA"/>
              </w:rPr>
              <w:t xml:space="preserve">3、赴事故现场时间承诺</w:t>
            </w:r>
            <w:r>
              <w:rPr>
                <w:rFonts w:hint="eastAsia"/>
                <w:color w:val="auto"/>
                <w:sz w:val="21"/>
                <w:szCs w:val="22"/>
                <w:highlight w:val="none"/>
                <w:rtl w:val="0"/>
                <w:lang w:val="en-US" w:eastAsia="zh-CN" w:bidi="ar-SA"/>
              </w:rPr>
              <w:t xml:space="preserve">：</w:t>
            </w:r>
            <w:r>
              <w:rPr>
                <w:rFonts w:ascii="Calibri" w:hAnsi="Calibri"/>
                <w:color w:val="auto"/>
                <w:sz w:val="21"/>
                <w:szCs w:val="22"/>
                <w:highlight w:val="none"/>
                <w:rtl w:val="0"/>
                <w:lang w:val="en-US" w:eastAsia="zh-CN" w:bidi="ar-SA"/>
              </w:rPr>
              <w:t xml:space="preserve">发生事故后，县内赶赴现场时间不高于1小时，异地不高于2小时；提供承诺的得2分，不提供的不得分。本项最高得2分。 </w:t>
            </w:r>
            <w:r/>
          </w:p>
          <w:p>
            <w:pPr>
              <w:numPr>
                <w:ilvl w:val="0"/>
                <w:numId w:val="0"/>
              </w:numPr>
              <w:jc w:val="left"/>
              <w:spacing w:after="0" w:afterAutospacing="0"/>
              <w:widowControl w:val="off"/>
              <w:rPr>
                <w:rFonts w:ascii="Calibri" w:hAnsi="Calibri"/>
                <w:color w:val="auto"/>
                <w:sz w:val="21"/>
                <w:szCs w:val="22"/>
                <w:highlight w:val="none"/>
                <w:rtl w:val="0"/>
                <w:lang w:val="en-US" w:eastAsia="zh-CN" w:bidi="ar-SA"/>
              </w:rPr>
            </w:pPr>
            <w:r>
              <w:rPr>
                <w:rFonts w:ascii="Calibri" w:hAnsi="Calibri"/>
                <w:color w:val="auto"/>
                <w:sz w:val="21"/>
                <w:szCs w:val="22"/>
                <w:highlight w:val="none"/>
                <w:rtl w:val="0"/>
                <w:lang w:val="en-US" w:eastAsia="zh-CN" w:bidi="ar-SA"/>
              </w:rPr>
              <w:t xml:space="preserve">4、理赔赔款支付时限承诺及相应保障措施</w:t>
            </w:r>
            <w:r>
              <w:rPr>
                <w:rFonts w:hint="eastAsia"/>
                <w:color w:val="auto"/>
                <w:sz w:val="21"/>
                <w:szCs w:val="22"/>
                <w:highlight w:val="none"/>
                <w:rtl w:val="0"/>
                <w:lang w:val="en-US" w:eastAsia="zh-CN" w:bidi="ar-SA"/>
              </w:rPr>
              <w:t xml:space="preserve">：</w:t>
            </w:r>
            <w:r>
              <w:rPr>
                <w:rFonts w:ascii="Calibri" w:hAnsi="Calibri"/>
                <w:color w:val="auto"/>
                <w:sz w:val="21"/>
                <w:szCs w:val="22"/>
                <w:highlight w:val="none"/>
                <w:rtl w:val="0"/>
                <w:lang w:val="en-US" w:eastAsia="zh-CN" w:bidi="ar-SA"/>
              </w:rPr>
              <w:t xml:space="preserve">在接到理赔申请后应该详细地告知申请人需要提供的材料，如申请人符合理赔条件，保障措施优于采购需求的并承诺 2 日内理赔到位的得 5分；保障措施基本满足采购需求并承诺 5 日之内理赔到位的得 3分；保障措施不是很完善</w:t>
            </w:r>
            <w:r>
              <w:rPr>
                <w:rFonts w:hint="eastAsia"/>
                <w:color w:val="auto"/>
                <w:sz w:val="21"/>
                <w:szCs w:val="22"/>
                <w:highlight w:val="none"/>
                <w:rtl w:val="0"/>
                <w:lang w:val="en-US" w:eastAsia="zh-CN" w:bidi="ar-SA"/>
              </w:rPr>
              <w:t xml:space="preserve">但</w:t>
            </w:r>
            <w:r>
              <w:rPr>
                <w:rFonts w:ascii="Calibri" w:hAnsi="Calibri"/>
                <w:color w:val="auto"/>
                <w:sz w:val="21"/>
                <w:szCs w:val="22"/>
                <w:highlight w:val="none"/>
                <w:rtl w:val="0"/>
                <w:lang w:val="en-US" w:eastAsia="zh-CN" w:bidi="ar-SA"/>
              </w:rPr>
              <w:t xml:space="preserve">优化后满足需求的并承诺 7 日之内理赔到位的得 1分；超过 7 日理赔到位的不得分。以材料不齐等理由拖延赔付，超过时限承诺的，本项不得分。</w:t>
            </w:r>
            <w:r/>
          </w:p>
          <w:p>
            <w:pPr>
              <w:numPr>
                <w:ilvl w:val="0"/>
                <w:numId w:val="0"/>
              </w:numPr>
              <w:jc w:val="left"/>
              <w:spacing w:after="0" w:afterAutospacing="0"/>
              <w:widowControl w:val="off"/>
              <w:rPr>
                <w:rFonts w:ascii="Calibri" w:hAnsi="Calibri"/>
                <w:color w:val="auto"/>
                <w:sz w:val="21"/>
                <w:szCs w:val="22"/>
                <w:highlight w:val="none"/>
                <w:rtl w:val="0"/>
                <w:lang w:val="en-US" w:eastAsia="zh-CN" w:bidi="ar-SA"/>
              </w:rPr>
            </w:pPr>
            <w:r>
              <w:rPr>
                <w:rFonts w:ascii="Calibri" w:hAnsi="Calibri"/>
                <w:color w:val="auto"/>
                <w:sz w:val="21"/>
                <w:szCs w:val="22"/>
                <w:highlight w:val="none"/>
                <w:rtl w:val="0"/>
                <w:lang w:val="en-US" w:eastAsia="zh-CN" w:bidi="ar-SA"/>
              </w:rPr>
              <w:t xml:space="preserve">注：本大项所需承诺</w:t>
            </w:r>
            <w:r>
              <w:rPr>
                <w:rFonts w:hint="eastAsia"/>
                <w:color w:val="auto"/>
                <w:sz w:val="21"/>
                <w:szCs w:val="22"/>
                <w:highlight w:val="none"/>
                <w:rtl w:val="0"/>
                <w:lang w:val="en-US" w:eastAsia="zh-CN" w:bidi="ar-SA"/>
              </w:rPr>
              <w:t xml:space="preserve">（承诺格式自拟）</w:t>
            </w:r>
            <w:r>
              <w:rPr>
                <w:rFonts w:ascii="Calibri" w:hAnsi="Calibri"/>
                <w:color w:val="auto"/>
                <w:sz w:val="21"/>
                <w:szCs w:val="22"/>
                <w:highlight w:val="none"/>
                <w:rtl w:val="0"/>
                <w:lang w:val="en-US" w:eastAsia="zh-CN" w:bidi="ar-SA"/>
              </w:rPr>
              <w:t xml:space="preserve">及保障措施均需加盖</w:t>
            </w:r>
            <w:r>
              <w:rPr>
                <w:rFonts w:hint="eastAsia"/>
                <w:color w:val="auto"/>
                <w:sz w:val="21"/>
                <w:szCs w:val="22"/>
                <w:highlight w:val="none"/>
                <w:rtl w:val="0"/>
                <w:lang w:val="en-US" w:eastAsia="zh-CN" w:bidi="ar-SA"/>
              </w:rPr>
              <w:t xml:space="preserve">供应商</w:t>
            </w:r>
            <w:r>
              <w:rPr>
                <w:rFonts w:ascii="Calibri" w:hAnsi="Calibri"/>
                <w:color w:val="auto"/>
                <w:sz w:val="21"/>
                <w:szCs w:val="22"/>
                <w:highlight w:val="none"/>
                <w:rtl w:val="0"/>
                <w:lang w:val="en-US" w:eastAsia="zh-CN" w:bidi="ar-SA"/>
              </w:rPr>
              <w:t xml:space="preserve">公章原件电子件，未</w:t>
            </w:r>
            <w:r>
              <w:rPr>
                <w:rFonts w:hint="eastAsia"/>
                <w:color w:val="auto"/>
                <w:sz w:val="21"/>
                <w:szCs w:val="22"/>
                <w:highlight w:val="none"/>
                <w:rtl w:val="0"/>
                <w:lang w:val="en-US" w:eastAsia="zh-CN" w:bidi="ar-SA"/>
              </w:rPr>
              <w:t xml:space="preserve">按要求</w:t>
            </w:r>
            <w:r>
              <w:rPr>
                <w:rFonts w:ascii="Calibri" w:hAnsi="Calibri"/>
                <w:color w:val="auto"/>
                <w:sz w:val="21"/>
                <w:szCs w:val="22"/>
                <w:highlight w:val="none"/>
                <w:rtl w:val="0"/>
                <w:lang w:val="en-US" w:eastAsia="zh-CN" w:bidi="ar-SA"/>
              </w:rPr>
              <w:t xml:space="preserve">提供的不得分。 </w:t>
            </w:r>
            <w:r/>
          </w:p>
        </w:tc>
      </w:tr>
      <w:tr>
        <w:trPr/>
        <w:tc>
          <w:tcPr>
            <w:tcBorders>
              <w:top w:val="single" w:color="auto" w:sz="6" w:space="0"/>
              <w:left w:val="single" w:color="auto" w:sz="6" w:space="0"/>
              <w:bottom w:val="single" w:color="auto" w:sz="6" w:space="0"/>
              <w:right w:val="single" w:color="auto" w:sz="6" w:space="0"/>
            </w:tcBorders>
            <w:tcW w:w="402" w:type="pct"/>
            <w:vAlign w:val="center"/>
            <w:vMerge w:val="continue"/>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573" w:type="pct"/>
            <w:vAlign w:val="center"/>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宣传服务</w:t>
            </w:r>
            <w:r/>
          </w:p>
        </w:tc>
        <w:tc>
          <w:tcPr>
            <w:tcBorders>
              <w:top w:val="single" w:color="auto" w:sz="6" w:space="0"/>
              <w:left w:val="single" w:color="auto" w:sz="6" w:space="0"/>
              <w:bottom w:val="single" w:color="auto" w:sz="6" w:space="0"/>
              <w:right w:val="single" w:color="auto" w:sz="6" w:space="0"/>
            </w:tcBorders>
            <w:tcW w:w="415" w:type="pct"/>
            <w:vAlign w:val="center"/>
            <w:textDirection w:val="lrTb"/>
            <w:noWrap w:val="false"/>
          </w:tcPr>
          <w:p>
            <w:pPr>
              <w:jc w:val="center"/>
              <w:spacing w:after="0" w:afterAutospacing="0"/>
              <w:widowControl w:val="off"/>
              <w:rPr>
                <w:rFonts w:ascii="Calibri" w:hAnsi="Calibri"/>
                <w:color w:val="auto"/>
                <w:sz w:val="21"/>
                <w:szCs w:val="22"/>
                <w:highlight w:val="none"/>
                <w:lang w:val="en-US" w:eastAsia="zh-CN" w:bidi="ar-SA"/>
              </w:rPr>
            </w:pPr>
            <w:r>
              <w:rPr>
                <w:rFonts w:hint="eastAsia"/>
                <w:color w:val="auto"/>
                <w:sz w:val="21"/>
                <w:szCs w:val="22"/>
                <w:highlight w:val="none"/>
                <w:rtl w:val="0"/>
                <w:lang w:val="en-US" w:eastAsia="zh-CN" w:bidi="ar-SA"/>
              </w:rPr>
              <w:t xml:space="preserve">6</w:t>
            </w:r>
            <w:r>
              <w:rPr>
                <w:rFonts w:ascii="Calibri" w:hAnsi="Calibri"/>
                <w:color w:val="auto"/>
                <w:sz w:val="21"/>
                <w:szCs w:val="22"/>
                <w:highlight w:val="none"/>
                <w:rtl w:val="0"/>
                <w:lang w:val="en-US" w:eastAsia="zh-CN" w:bidi="ar-SA"/>
              </w:rPr>
              <w:t xml:space="preserve">.00</w:t>
            </w:r>
            <w:r/>
          </w:p>
        </w:tc>
        <w:tc>
          <w:tcPr>
            <w:tcBorders>
              <w:top w:val="single" w:color="auto" w:sz="6" w:space="0"/>
              <w:left w:val="single" w:color="auto" w:sz="6" w:space="0"/>
              <w:bottom w:val="single" w:color="auto" w:sz="6" w:space="0"/>
              <w:right w:val="single" w:color="auto" w:sz="6" w:space="0"/>
            </w:tcBorders>
            <w:tcW w:w="3607" w:type="pct"/>
            <w:vAlign w:val="center"/>
            <w:textDirection w:val="lrTb"/>
            <w:noWrap w:val="false"/>
          </w:tcPr>
          <w:p>
            <w:pPr>
              <w:numPr>
                <w:ilvl w:val="0"/>
                <w:numId w:val="0"/>
              </w:numPr>
              <w:jc w:val="left"/>
              <w:spacing w:after="0" w:afterAutospacing="0"/>
              <w:widowControl w:val="off"/>
              <w:rPr>
                <w:rFonts w:hint="eastAsia" w:ascii="Calibri" w:hAnsi="Calibri" w:eastAsia="宋体" w:cs="Times New Roman"/>
                <w:color w:val="auto"/>
                <w:sz w:val="21"/>
                <w:szCs w:val="22"/>
                <w:highlight w:val="none"/>
                <w:rtl w:val="0"/>
                <w:lang w:val="en-US" w:eastAsia="zh-CN" w:bidi="ar-SA"/>
              </w:rPr>
            </w:pPr>
            <w:r>
              <w:rPr>
                <w:rFonts w:hint="eastAsia"/>
                <w:color w:val="auto"/>
                <w:sz w:val="21"/>
                <w:szCs w:val="22"/>
                <w:highlight w:val="none"/>
                <w:rtl w:val="0"/>
                <w:lang w:val="en-US" w:eastAsia="zh-CN" w:bidi="ar-SA"/>
              </w:rPr>
              <w:t xml:space="preserve">供应商提供</w:t>
            </w:r>
            <w:r>
              <w:rPr>
                <w:rFonts w:ascii="Calibri" w:hAnsi="Calibri"/>
                <w:color w:val="auto"/>
                <w:sz w:val="21"/>
                <w:szCs w:val="22"/>
                <w:highlight w:val="none"/>
                <w:rtl w:val="0"/>
                <w:lang w:val="en-US" w:eastAsia="zh-CN" w:bidi="ar-SA"/>
              </w:rPr>
              <w:t xml:space="preserve">宣传服务包含但不限于以下内容</w:t>
            </w:r>
            <w:r>
              <w:rPr>
                <w:rFonts w:hint="eastAsia"/>
                <w:color w:val="auto"/>
                <w:sz w:val="21"/>
                <w:szCs w:val="22"/>
                <w:highlight w:val="none"/>
                <w:rtl w:val="0"/>
                <w:lang w:val="en-US" w:eastAsia="zh-CN" w:bidi="ar-SA"/>
              </w:rPr>
              <w:t xml:space="preserve">：</w:t>
            </w:r>
            <w:r/>
          </w:p>
          <w:p>
            <w:pPr>
              <w:numPr>
                <w:ilvl w:val="0"/>
                <w:numId w:val="0"/>
              </w:numPr>
              <w:jc w:val="left"/>
              <w:spacing w:after="0" w:afterAutospacing="0"/>
              <w:widowControl w:val="off"/>
              <w:rPr>
                <w:rFonts w:hint="eastAsia" w:ascii="Calibri" w:hAnsi="Calibri" w:eastAsia="宋体" w:cs="Times New Roman"/>
                <w:color w:val="auto"/>
                <w:sz w:val="21"/>
                <w:szCs w:val="22"/>
                <w:highlight w:val="none"/>
                <w:rtl w:val="0"/>
                <w:lang w:val="en-US" w:eastAsia="zh-CN" w:bidi="ar-SA"/>
              </w:rPr>
            </w:pPr>
            <w:r>
              <w:rPr>
                <w:rFonts w:hint="eastAsia" w:ascii="Calibri" w:hAnsi="Calibri" w:eastAsia="宋体" w:cs="Times New Roman"/>
                <w:color w:val="auto"/>
                <w:sz w:val="21"/>
                <w:szCs w:val="22"/>
                <w:highlight w:val="none"/>
                <w:rtl w:val="0"/>
                <w:lang w:val="en-US" w:eastAsia="zh-CN" w:bidi="ar-SA"/>
              </w:rPr>
              <w:t xml:space="preserve">1</w:t>
            </w:r>
            <w:r>
              <w:rPr>
                <w:rFonts w:hint="eastAsia" w:eastAsia="宋体" w:cs="Times New Roman"/>
                <w:color w:val="auto"/>
                <w:sz w:val="21"/>
                <w:szCs w:val="22"/>
                <w:highlight w:val="none"/>
                <w:rtl w:val="0"/>
                <w:lang w:val="en-US" w:eastAsia="zh-CN" w:bidi="ar-SA"/>
              </w:rPr>
              <w:t xml:space="preserve">、</w:t>
            </w:r>
            <w:r>
              <w:rPr>
                <w:rFonts w:hint="eastAsia" w:ascii="Calibri" w:hAnsi="Calibri" w:eastAsia="宋体" w:cs="Times New Roman"/>
                <w:color w:val="auto"/>
                <w:sz w:val="21"/>
                <w:szCs w:val="22"/>
                <w:highlight w:val="none"/>
                <w:rtl w:val="0"/>
                <w:lang w:val="en-US" w:eastAsia="zh-CN" w:bidi="ar-SA"/>
              </w:rPr>
              <w:t xml:space="preserve">注重保险宣传</w:t>
            </w:r>
            <w:r>
              <w:rPr>
                <w:rFonts w:hint="eastAsia" w:cs="Times New Roman"/>
                <w:color w:val="auto"/>
                <w:sz w:val="21"/>
                <w:szCs w:val="22"/>
                <w:highlight w:val="none"/>
                <w:rtl w:val="0"/>
                <w:lang w:val="en-US" w:eastAsia="zh-CN" w:bidi="ar-SA"/>
              </w:rPr>
              <w:t xml:space="preserve">：</w:t>
            </w:r>
            <w:r>
              <w:rPr>
                <w:rFonts w:hint="eastAsia" w:ascii="Calibri" w:hAnsi="Calibri" w:eastAsia="宋体" w:cs="Times New Roman"/>
                <w:color w:val="auto"/>
                <w:sz w:val="21"/>
                <w:szCs w:val="22"/>
                <w:highlight w:val="none"/>
                <w:rtl w:val="0"/>
                <w:lang w:val="en-US" w:eastAsia="zh-CN" w:bidi="ar-SA"/>
              </w:rPr>
              <w:t xml:space="preserve">让投保人家喻户晓，理赔方式宣传到户、到人，增加安全防范宣传举措，宣传服务形式多样、具体，能达到宣传目的并将保单送至被保人，能够详细地告知保险范围、赔偿限额、报案方式及监督联系电话等，得2分；较注重保险宣传，宣传力度不大，宣传服务单一，将保单送至被保人时无法详细地告知保险范围、赔偿限额、报案方式及监督联系电话等，得1分，没有内容不得分</w:t>
            </w:r>
            <w:r>
              <w:rPr>
                <w:rFonts w:hint="eastAsia" w:cs="Times New Roman"/>
                <w:color w:val="auto"/>
                <w:sz w:val="21"/>
                <w:szCs w:val="22"/>
                <w:highlight w:val="none"/>
                <w:rtl w:val="0"/>
                <w:lang w:val="en-US" w:eastAsia="zh-CN" w:bidi="ar-SA"/>
              </w:rPr>
              <w:t xml:space="preserve">；</w:t>
            </w:r>
            <w:r/>
          </w:p>
          <w:p>
            <w:pPr>
              <w:numPr>
                <w:ilvl w:val="0"/>
                <w:numId w:val="0"/>
              </w:numPr>
              <w:jc w:val="left"/>
              <w:spacing w:after="0" w:afterAutospacing="0"/>
              <w:widowControl w:val="off"/>
              <w:rPr>
                <w:rFonts w:ascii="Calibri" w:hAnsi="Calibri"/>
                <w:color w:val="auto"/>
                <w:sz w:val="21"/>
                <w:szCs w:val="22"/>
                <w:highlight w:val="none"/>
                <w:rtl w:val="0"/>
                <w:lang w:val="en-US" w:eastAsia="zh-CN" w:bidi="ar-SA"/>
              </w:rPr>
            </w:pPr>
            <w:r>
              <w:rPr>
                <w:rFonts w:hint="eastAsia" w:ascii="Calibri" w:hAnsi="Calibri" w:eastAsia="宋体" w:cs="Times New Roman"/>
                <w:color w:val="auto"/>
                <w:sz w:val="21"/>
                <w:szCs w:val="22"/>
                <w:highlight w:val="none"/>
                <w:rtl w:val="0"/>
                <w:lang w:val="en-US" w:eastAsia="zh-CN" w:bidi="ar-SA"/>
              </w:rPr>
              <w:t xml:space="preserve">2</w:t>
            </w:r>
            <w:r>
              <w:rPr>
                <w:rFonts w:hint="eastAsia" w:eastAsia="宋体" w:cs="Times New Roman"/>
                <w:color w:val="auto"/>
                <w:sz w:val="21"/>
                <w:szCs w:val="22"/>
                <w:highlight w:val="none"/>
                <w:rtl w:val="0"/>
                <w:lang w:val="en-US" w:eastAsia="zh-CN" w:bidi="ar-SA"/>
              </w:rPr>
              <w:t xml:space="preserve">、</w:t>
            </w:r>
            <w:r>
              <w:rPr>
                <w:rFonts w:hint="eastAsia" w:ascii="Calibri" w:hAnsi="Calibri" w:eastAsia="宋体" w:cs="Times New Roman"/>
                <w:color w:val="auto"/>
                <w:sz w:val="21"/>
                <w:szCs w:val="22"/>
                <w:highlight w:val="none"/>
                <w:rtl w:val="0"/>
                <w:lang w:val="en-US" w:eastAsia="zh-CN" w:bidi="ar-SA"/>
              </w:rPr>
              <w:t xml:space="preserve">集中宣传</w:t>
            </w:r>
            <w:r>
              <w:rPr>
                <w:rFonts w:hint="eastAsia" w:cs="Times New Roman"/>
                <w:color w:val="auto"/>
                <w:sz w:val="21"/>
                <w:szCs w:val="22"/>
                <w:highlight w:val="none"/>
                <w:rtl w:val="0"/>
                <w:lang w:val="en-US" w:eastAsia="zh-CN" w:bidi="ar-SA"/>
              </w:rPr>
              <w:t xml:space="preserve">：</w:t>
            </w:r>
            <w:r>
              <w:rPr>
                <w:rFonts w:hint="eastAsia" w:ascii="Calibri" w:hAnsi="Calibri" w:eastAsia="宋体" w:cs="Times New Roman"/>
                <w:color w:val="auto"/>
                <w:sz w:val="21"/>
                <w:szCs w:val="22"/>
                <w:highlight w:val="none"/>
                <w:rtl w:val="0"/>
                <w:lang w:val="en-US" w:eastAsia="zh-CN" w:bidi="ar-SA"/>
              </w:rPr>
              <w:t xml:space="preserve">能针对残疾人意外险开展专项集中宣传，制作宣传方案并及时做好信息报道，得</w:t>
            </w:r>
            <w:r>
              <w:rPr>
                <w:rFonts w:hint="eastAsia" w:eastAsia="宋体" w:cs="Times New Roman"/>
                <w:color w:val="auto"/>
                <w:sz w:val="21"/>
                <w:szCs w:val="22"/>
                <w:highlight w:val="none"/>
                <w:rtl w:val="0"/>
                <w:lang w:val="en-US" w:eastAsia="zh-CN" w:bidi="ar-SA"/>
              </w:rPr>
              <w:t xml:space="preserve">2</w:t>
            </w:r>
            <w:r>
              <w:rPr>
                <w:rFonts w:hint="eastAsia" w:ascii="Calibri" w:hAnsi="Calibri" w:eastAsia="宋体" w:cs="Times New Roman"/>
                <w:color w:val="auto"/>
                <w:sz w:val="21"/>
                <w:szCs w:val="22"/>
                <w:highlight w:val="none"/>
                <w:rtl w:val="0"/>
                <w:lang w:val="en-US" w:eastAsia="zh-CN" w:bidi="ar-SA"/>
              </w:rPr>
              <w:t xml:space="preserve">分，没有内容不得分；                                                           3</w:t>
            </w:r>
            <w:r>
              <w:rPr>
                <w:rFonts w:hint="eastAsia" w:eastAsia="宋体" w:cs="Times New Roman"/>
                <w:color w:val="auto"/>
                <w:sz w:val="21"/>
                <w:szCs w:val="22"/>
                <w:highlight w:val="none"/>
                <w:rtl w:val="0"/>
                <w:lang w:val="en-US" w:eastAsia="zh-CN" w:bidi="ar-SA"/>
              </w:rPr>
              <w:t xml:space="preserve">、</w:t>
            </w:r>
            <w:r>
              <w:rPr>
                <w:rFonts w:hint="eastAsia" w:ascii="Calibri" w:hAnsi="Calibri" w:eastAsia="宋体" w:cs="Times New Roman"/>
                <w:color w:val="auto"/>
                <w:sz w:val="21"/>
                <w:szCs w:val="22"/>
                <w:highlight w:val="none"/>
                <w:rtl w:val="0"/>
                <w:lang w:val="en-US" w:eastAsia="zh-CN" w:bidi="ar-SA"/>
              </w:rPr>
              <w:t xml:space="preserve">承诺</w:t>
            </w:r>
            <w:r>
              <w:rPr>
                <w:rFonts w:hint="eastAsia" w:cs="Times New Roman"/>
                <w:color w:val="auto"/>
                <w:sz w:val="21"/>
                <w:szCs w:val="22"/>
                <w:highlight w:val="none"/>
                <w:rtl w:val="0"/>
                <w:lang w:val="en-US" w:eastAsia="zh-CN" w:bidi="ar-SA"/>
              </w:rPr>
              <w:t xml:space="preserve">（</w:t>
            </w:r>
            <w:r>
              <w:rPr>
                <w:rFonts w:hint="eastAsia"/>
                <w:color w:val="auto"/>
                <w:sz w:val="21"/>
                <w:szCs w:val="22"/>
                <w:highlight w:val="none"/>
                <w:rtl w:val="0"/>
                <w:lang w:val="en-US" w:eastAsia="zh-CN" w:bidi="ar-SA"/>
              </w:rPr>
              <w:t xml:space="preserve">承诺格式自拟并加盖供应商公章）</w:t>
            </w:r>
            <w:r>
              <w:rPr>
                <w:rFonts w:hint="eastAsia" w:ascii="Calibri" w:hAnsi="Calibri" w:eastAsia="宋体" w:cs="Times New Roman"/>
                <w:color w:val="auto"/>
                <w:sz w:val="21"/>
                <w:szCs w:val="22"/>
                <w:highlight w:val="none"/>
                <w:rtl w:val="0"/>
                <w:lang w:val="en-US" w:eastAsia="zh-CN" w:bidi="ar-SA"/>
              </w:rPr>
              <w:t xml:space="preserve">中标后，为所有参保残疾人提供每人入户保险通知单或总分小保单，告知单或小保单上应有参保人姓名、身份证号码、地址、保障内容、理赔服务及咨询、投诉电话等内容，并分发到位，得</w:t>
            </w:r>
            <w:r>
              <w:rPr>
                <w:rFonts w:hint="eastAsia" w:eastAsia="宋体" w:cs="Times New Roman"/>
                <w:color w:val="auto"/>
                <w:sz w:val="21"/>
                <w:szCs w:val="22"/>
                <w:highlight w:val="none"/>
                <w:rtl w:val="0"/>
                <w:lang w:val="en-US" w:eastAsia="zh-CN" w:bidi="ar-SA"/>
              </w:rPr>
              <w:t xml:space="preserve">2</w:t>
            </w:r>
            <w:r>
              <w:rPr>
                <w:rFonts w:hint="eastAsia" w:ascii="Calibri" w:hAnsi="Calibri" w:eastAsia="宋体" w:cs="Times New Roman"/>
                <w:color w:val="auto"/>
                <w:sz w:val="21"/>
                <w:szCs w:val="22"/>
                <w:highlight w:val="none"/>
                <w:rtl w:val="0"/>
                <w:lang w:val="en-US" w:eastAsia="zh-CN" w:bidi="ar-SA"/>
              </w:rPr>
              <w:t xml:space="preserve">分；以电子保单、新媒介将保单送或传送到参保人，参保信息和理赔服务详细，得</w:t>
            </w:r>
            <w:r>
              <w:rPr>
                <w:rFonts w:hint="eastAsia" w:eastAsia="宋体" w:cs="Times New Roman"/>
                <w:color w:val="auto"/>
                <w:sz w:val="21"/>
                <w:szCs w:val="22"/>
                <w:highlight w:val="none"/>
                <w:rtl w:val="0"/>
                <w:lang w:val="en-US" w:eastAsia="zh-CN" w:bidi="ar-SA"/>
              </w:rPr>
              <w:t xml:space="preserve">1</w:t>
            </w:r>
            <w:r>
              <w:rPr>
                <w:rFonts w:hint="eastAsia" w:ascii="Calibri" w:hAnsi="Calibri" w:eastAsia="宋体" w:cs="Times New Roman"/>
                <w:color w:val="auto"/>
                <w:sz w:val="21"/>
                <w:szCs w:val="22"/>
                <w:highlight w:val="none"/>
                <w:rtl w:val="0"/>
                <w:lang w:val="en-US" w:eastAsia="zh-CN" w:bidi="ar-SA"/>
              </w:rPr>
              <w:t xml:space="preserve">分；未承诺的，本项不得分。</w:t>
            </w:r>
            <w:r/>
          </w:p>
        </w:tc>
      </w:tr>
      <w:tr>
        <w:trPr/>
        <w:tc>
          <w:tcPr>
            <w:tcBorders>
              <w:top w:val="single" w:color="auto" w:sz="6" w:space="0"/>
              <w:left w:val="single" w:color="auto" w:sz="6" w:space="0"/>
              <w:bottom w:val="single" w:color="auto" w:sz="6" w:space="0"/>
              <w:right w:val="single" w:color="auto" w:sz="6" w:space="0"/>
            </w:tcBorders>
            <w:tcW w:w="402" w:type="pct"/>
            <w:vAlign w:val="center"/>
            <w:vMerge w:val="continue"/>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573" w:type="pct"/>
            <w:vAlign w:val="center"/>
            <w:textDirection w:val="lrTb"/>
            <w:noWrap w:val="false"/>
          </w:tcPr>
          <w:p>
            <w:pPr>
              <w:jc w:val="left"/>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其他服务</w:t>
            </w:r>
            <w:r/>
          </w:p>
        </w:tc>
        <w:tc>
          <w:tcPr>
            <w:tcBorders>
              <w:top w:val="single" w:color="auto" w:sz="6" w:space="0"/>
              <w:left w:val="single" w:color="auto" w:sz="6" w:space="0"/>
              <w:bottom w:val="single" w:color="auto" w:sz="6" w:space="0"/>
              <w:right w:val="single" w:color="auto" w:sz="6" w:space="0"/>
            </w:tcBorders>
            <w:tcW w:w="415" w:type="pct"/>
            <w:vAlign w:val="center"/>
            <w:textDirection w:val="lrTb"/>
            <w:noWrap w:val="false"/>
          </w:tcPr>
          <w:p>
            <w:pPr>
              <w:jc w:val="center"/>
              <w:spacing w:after="0" w:afterAutospacing="0"/>
              <w:widowControl w:val="off"/>
              <w:rPr>
                <w:rFonts w:ascii="Calibri" w:hAnsi="Calibri"/>
                <w:color w:val="auto"/>
                <w:sz w:val="21"/>
                <w:szCs w:val="22"/>
                <w:highlight w:val="none"/>
                <w:lang w:val="en-US" w:eastAsia="zh-CN" w:bidi="ar-SA"/>
              </w:rPr>
            </w:pPr>
            <w:r>
              <w:rPr>
                <w:rFonts w:ascii="Calibri" w:hAnsi="Calibri"/>
                <w:color w:val="auto"/>
                <w:sz w:val="21"/>
                <w:szCs w:val="22"/>
                <w:highlight w:val="none"/>
                <w:rtl w:val="0"/>
                <w:lang w:val="en-US" w:eastAsia="zh-CN" w:bidi="ar-SA"/>
              </w:rPr>
              <w:t xml:space="preserve">4.00</w:t>
            </w:r>
            <w:r/>
          </w:p>
        </w:tc>
        <w:tc>
          <w:tcPr>
            <w:tcBorders>
              <w:top w:val="single" w:color="auto" w:sz="6" w:space="0"/>
              <w:left w:val="single" w:color="auto" w:sz="6" w:space="0"/>
              <w:bottom w:val="single" w:color="auto" w:sz="6" w:space="0"/>
              <w:right w:val="single" w:color="auto" w:sz="6" w:space="0"/>
            </w:tcBorders>
            <w:tcW w:w="3607" w:type="pct"/>
            <w:vAlign w:val="center"/>
            <w:textDirection w:val="lrTb"/>
            <w:noWrap w:val="false"/>
          </w:tcPr>
          <w:p>
            <w:pPr>
              <w:jc w:val="left"/>
              <w:spacing w:after="0" w:afterAutospacing="0"/>
              <w:widowControl w:val="off"/>
              <w:rPr>
                <w:rFonts w:hint="default" w:ascii="Calibri" w:hAnsi="Calibri"/>
                <w:color w:val="auto"/>
                <w:sz w:val="21"/>
                <w:szCs w:val="22"/>
                <w:highlight w:val="none"/>
                <w:rtl w:val="0"/>
                <w:lang w:val="en-US" w:eastAsia="zh-CN" w:bidi="ar-SA"/>
              </w:rPr>
            </w:pPr>
            <w:r>
              <w:rPr>
                <w:rFonts w:hint="eastAsia"/>
                <w:color w:val="auto"/>
                <w:sz w:val="21"/>
                <w:szCs w:val="22"/>
                <w:highlight w:val="none"/>
                <w:rtl w:val="0"/>
                <w:lang w:val="en-US" w:eastAsia="zh-CN" w:bidi="ar-SA"/>
              </w:rPr>
              <w:t xml:space="preserve">供应商</w:t>
            </w:r>
            <w:r>
              <w:rPr>
                <w:rFonts w:ascii="Calibri" w:hAnsi="Calibri"/>
                <w:color w:val="auto"/>
                <w:sz w:val="21"/>
                <w:szCs w:val="22"/>
                <w:highlight w:val="none"/>
                <w:rtl w:val="0"/>
                <w:lang w:val="en-US" w:eastAsia="zh-CN" w:bidi="ar-SA"/>
              </w:rPr>
              <w:t xml:space="preserve">提供的其他服务包含但不限于以下内容，能够积极主动配合市、县区主管部门工作、建立完善的信息反馈系统，如确定可赔付，相关资料不齐全可以后续补齐的，建立完善的预赔付机制服务等，得4分；能够配合市、县区主管部门工作、建立较完善的信息反馈系统，如确定可赔付，相关资料不齐全可以后续补齐的，建立较完善的预赔付机制服务等，得2分；不能及时配合市、县区主管部门工作、建立较完善的信息反馈系统，如确定可赔付，相关资料不齐全不能预付，无预赔付机制服务等，得1分，没有内容不得分。</w:t>
            </w:r>
            <w:r/>
          </w:p>
        </w:tc>
      </w:tr>
    </w:tbl>
    <w:p>
      <w:pPr>
        <w:pStyle w:val="855"/>
        <w:shd w:val="clear" w:color="auto" w:fill="ffffff" w:themeFill="background1"/>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ind w:firstLine="480"/>
        <w:jc w:val="left"/>
        <w:spacing w:line="480" w:lineRule="exact"/>
        <w:shd w:val="clear" w:color="auto" w:fill="ffffff" w:themeFill="background1"/>
        <w:rPr>
          <w:rFonts w:hint="eastAsia" w:ascii="宋体" w:hAnsi="宋体" w:eastAsia="宋体" w:cs="宋体"/>
          <w:color w:val="auto"/>
          <w:sz w:val="24"/>
          <w:szCs w:val="28"/>
          <w:highlight w:val="none"/>
        </w:rPr>
      </w:pPr>
      <w:r/>
      <w:bookmarkStart w:id="93" w:name="EBd5bea3a3c3254523b93c8abaa514fb10"/>
      <w:r/>
      <w:bookmarkEnd w:id="93"/>
      <w:r/>
      <w:bookmarkStart w:id="94" w:name="_Toc10422"/>
      <w:r>
        <w:rPr>
          <w:rFonts w:hint="eastAsia" w:ascii="宋体" w:hAnsi="宋体" w:eastAsia="宋体" w:cs="宋体"/>
          <w:color w:val="auto"/>
          <w:sz w:val="24"/>
          <w:szCs w:val="28"/>
          <w:highlight w:val="none"/>
        </w:rPr>
        <w:t xml:space="preserve">注：1、涉及到评审的相关证明资料须提供原件的扫描件。未按要求提供的，评标委员会可以视其未提供。</w:t>
      </w:r>
      <w:r/>
    </w:p>
    <w:p>
      <w:pPr>
        <w:ind w:firstLine="482"/>
        <w:jc w:val="left"/>
        <w:spacing w:line="480" w:lineRule="exact"/>
        <w:shd w:val="clear" w:color="auto" w:fill="ffffff" w:themeFill="background1"/>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2、无论何种原因，即使投标供应商开标时携带了证书证明资料的原件，但电子</w:t>
      </w:r>
      <w:r>
        <w:rPr>
          <w:rFonts w:hint="eastAsia" w:ascii="宋体" w:hAnsi="宋体" w:eastAsia="宋体" w:cs="宋体"/>
          <w:color w:val="auto"/>
          <w:sz w:val="24"/>
          <w:szCs w:val="28"/>
          <w:highlight w:val="none"/>
          <w:lang w:eastAsia="zh-CN"/>
        </w:rPr>
        <w:t xml:space="preserve">响应文件</w:t>
      </w:r>
      <w:r>
        <w:rPr>
          <w:rFonts w:hint="eastAsia" w:ascii="宋体" w:hAnsi="宋体" w:eastAsia="宋体" w:cs="宋体"/>
          <w:color w:val="auto"/>
          <w:sz w:val="24"/>
          <w:szCs w:val="28"/>
          <w:highlight w:val="none"/>
        </w:rPr>
        <w:t xml:space="preserve">中未包含相关资料的，评标委员会可以视同其未提供。</w:t>
      </w:r>
      <w:r/>
    </w:p>
    <w:p>
      <w:pPr>
        <w:ind w:firstLine="482"/>
        <w:jc w:val="left"/>
        <w:spacing w:line="480" w:lineRule="exact"/>
        <w:shd w:val="clear" w:color="auto" w:fill="ffffff" w:themeFill="background1"/>
        <w:rPr>
          <w:rFonts w:hint="eastAsia" w:ascii="宋体" w:hAnsi="宋体" w:eastAsia="宋体" w:cs="宋体"/>
          <w:b/>
          <w:color w:val="auto"/>
          <w:sz w:val="44"/>
          <w:szCs w:val="44"/>
          <w:highlight w:val="none"/>
          <w:lang w:eastAsia="zh-CN"/>
        </w:rPr>
      </w:pPr>
      <w:r>
        <w:rPr>
          <w:rFonts w:hint="eastAsia" w:ascii="宋体" w:hAnsi="宋体" w:eastAsia="宋体" w:cs="宋体"/>
          <w:color w:val="auto"/>
          <w:sz w:val="24"/>
          <w:szCs w:val="28"/>
          <w:highlight w:val="none"/>
        </w:rPr>
        <w:t xml:space="preserve"> </w:t>
      </w:r>
      <w:r>
        <w:rPr>
          <w:rFonts w:hint="eastAsia" w:ascii="宋体" w:hAnsi="宋体" w:eastAsia="宋体" w:cs="宋体"/>
          <w:color w:val="auto"/>
          <w:sz w:val="24"/>
          <w:szCs w:val="28"/>
          <w:highlight w:val="none"/>
          <w:lang w:val="en-US" w:eastAsia="zh-CN"/>
        </w:rPr>
        <w:t xml:space="preserve">（三）</w:t>
      </w:r>
      <w:r>
        <w:rPr>
          <w:rFonts w:hint="eastAsia" w:ascii="宋体" w:hAnsi="宋体" w:eastAsia="宋体" w:cs="宋体"/>
          <w:color w:val="auto"/>
          <w:sz w:val="24"/>
          <w:szCs w:val="28"/>
          <w:highlight w:val="none"/>
        </w:rPr>
        <w:t xml:space="preserve">评标结果。磋商小组按照本办法规定推荐成交候选人，并形成评标报告</w:t>
      </w:r>
      <w:bookmarkStart w:id="95" w:name="_Toc31956"/>
      <w:r/>
      <w:bookmarkStart w:id="96" w:name="_Toc1519"/>
      <w:r>
        <w:rPr>
          <w:rFonts w:hint="eastAsia" w:ascii="宋体" w:hAnsi="宋体" w:cs="宋体"/>
          <w:color w:val="auto"/>
          <w:sz w:val="24"/>
          <w:szCs w:val="28"/>
          <w:highlight w:val="none"/>
          <w:lang w:eastAsia="zh-CN"/>
        </w:rPr>
        <w:t xml:space="preserve">。</w:t>
      </w:r>
      <w:r/>
    </w:p>
    <w:p>
      <w:pPr>
        <w:jc w:val="center"/>
        <w:spacing w:line="500" w:lineRule="exact"/>
        <w:shd w:val="clear" w:color="auto" w:fill="ffffff" w:themeFill="background1"/>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r>
      <w:r/>
    </w:p>
    <w:p>
      <w:pPr>
        <w:jc w:val="center"/>
        <w:spacing w:line="500" w:lineRule="exact"/>
        <w:shd w:val="clear" w:color="auto" w:fill="ffffff" w:themeFill="background1"/>
        <w:rPr>
          <w:rFonts w:hint="eastAsia" w:ascii="宋体" w:hAnsi="宋体" w:eastAsia="宋体" w:cs="宋体"/>
          <w:b/>
          <w:color w:val="auto"/>
          <w:sz w:val="44"/>
          <w:szCs w:val="44"/>
          <w:highlight w:val="none"/>
        </w:rPr>
        <w:outlineLvl w:val="0"/>
      </w:pPr>
      <w:r/>
      <w:bookmarkStart w:id="97" w:name="_Toc28623"/>
      <w:r>
        <w:rPr>
          <w:rFonts w:hint="eastAsia" w:ascii="宋体" w:hAnsi="宋体" w:eastAsia="宋体" w:cs="宋体"/>
          <w:b/>
          <w:color w:val="auto"/>
          <w:sz w:val="44"/>
          <w:szCs w:val="44"/>
          <w:highlight w:val="none"/>
        </w:rPr>
        <w:t xml:space="preserve">第四章  采购需求</w:t>
      </w:r>
      <w:bookmarkEnd w:id="94"/>
      <w:r/>
      <w:bookmarkEnd w:id="95"/>
      <w:r/>
      <w:bookmarkEnd w:id="96"/>
      <w:r/>
      <w:bookmarkEnd w:id="97"/>
      <w:r/>
      <w:r/>
    </w:p>
    <w:p>
      <w:pPr>
        <w:pStyle w:val="830"/>
        <w:jc w:val="both"/>
        <w:keepLines w:val="0"/>
        <w:keepNext w:val="0"/>
        <w:pageBreakBefore w:val="0"/>
        <w:spacing w:line="500" w:lineRule="exact"/>
        <w:shd w:val="clear" w:color="auto" w:fill="ffffff" w:themeFill="background1"/>
        <w:rPr>
          <w:rFonts w:hint="eastAsia" w:ascii="宋体" w:hAnsi="宋体" w:eastAsia="宋体" w:cs="宋体"/>
          <w:b w:val="0"/>
          <w:color w:val="auto"/>
          <w:sz w:val="24"/>
          <w:highlight w:val="none"/>
        </w:rPr>
      </w:pPr>
      <w:r/>
      <w:bookmarkStart w:id="98" w:name="_Toc22280"/>
      <w:r/>
      <w:bookmarkStart w:id="99" w:name="_Toc17639"/>
      <w:r>
        <w:rPr>
          <w:rFonts w:hint="eastAsia" w:ascii="宋体" w:hAnsi="宋体" w:eastAsia="宋体" w:cs="宋体"/>
          <w:b w:val="0"/>
          <w:color w:val="auto"/>
          <w:sz w:val="24"/>
          <w:highlight w:val="none"/>
        </w:rPr>
        <w:t xml:space="preserve">项目属性：</w:t>
      </w:r>
      <w:r>
        <w:rPr>
          <w:rFonts w:hint="eastAsia" w:ascii="宋体" w:hAnsi="宋体" w:eastAsia="宋体" w:cs="宋体"/>
          <w:b w:val="0"/>
          <w:color w:val="auto"/>
          <w:sz w:val="24"/>
          <w:highlight w:val="none"/>
          <w:u w:val="single"/>
        </w:rPr>
        <w:t xml:space="preserve">服务类项目。</w:t>
      </w:r>
      <w:r/>
    </w:p>
    <w:p>
      <w:pPr>
        <w:pStyle w:val="830"/>
        <w:jc w:val="both"/>
        <w:keepLines w:val="0"/>
        <w:keepNext w:val="0"/>
        <w:pageBreakBefore w:val="0"/>
        <w:spacing w:line="500" w:lineRule="exact"/>
        <w:shd w:val="clear" w:color="auto" w:fill="ffffff" w:themeFill="background1"/>
        <w:rPr>
          <w:rFonts w:hint="default" w:ascii="宋体" w:hAnsi="宋体" w:eastAsia="宋体" w:cs="宋体"/>
          <w:b w:val="0"/>
          <w:color w:val="auto"/>
          <w:sz w:val="24"/>
          <w:highlight w:val="none"/>
          <w:u w:val="single"/>
          <w:lang w:val="en-US" w:eastAsia="zh-CN"/>
        </w:rPr>
      </w:pPr>
      <w:r>
        <w:rPr>
          <w:rFonts w:hint="eastAsia" w:ascii="宋体" w:hAnsi="宋体" w:eastAsia="宋体" w:cs="宋体"/>
          <w:b w:val="0"/>
          <w:color w:val="auto"/>
          <w:sz w:val="24"/>
          <w:highlight w:val="none"/>
        </w:rPr>
        <w:t xml:space="preserve">本项目采购标的对应的中小企业划分标准所属行业：</w:t>
      </w:r>
      <w:r>
        <w:rPr>
          <w:rFonts w:hint="eastAsia" w:ascii="宋体" w:hAnsi="宋体" w:eastAsia="宋体" w:cs="宋体"/>
          <w:b w:val="0"/>
          <w:color w:val="auto"/>
          <w:sz w:val="24"/>
          <w:highlight w:val="none"/>
          <w:u w:val="single"/>
        </w:rPr>
        <w:t xml:space="preserve">其他未列明行业</w:t>
      </w:r>
      <w:r>
        <w:rPr>
          <w:rFonts w:hint="eastAsia" w:ascii="宋体" w:hAnsi="宋体" w:eastAsia="宋体" w:cs="宋体"/>
          <w:b w:val="0"/>
          <w:color w:val="auto"/>
          <w:sz w:val="24"/>
          <w:highlight w:val="none"/>
          <w:u w:val="single"/>
          <w:lang w:val="en-US" w:eastAsia="zh-CN"/>
        </w:rPr>
        <w:t xml:space="preserve">  </w:t>
      </w:r>
      <w:r/>
    </w:p>
    <w:p>
      <w:pPr>
        <w:pStyle w:val="830"/>
        <w:jc w:val="both"/>
        <w:keepLines w:val="0"/>
        <w:keepNext w:val="0"/>
        <w:pageBreakBefore w:val="0"/>
        <w:spacing w:line="500" w:lineRule="exact"/>
        <w:shd w:val="clear" w:color="auto" w:fill="ffffff" w:themeFill="background1"/>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本项目</w:t>
      </w:r>
      <w:r>
        <w:rPr>
          <w:rFonts w:hint="eastAsia" w:ascii="宋体" w:hAnsi="宋体" w:eastAsia="宋体" w:cs="宋体"/>
          <w:b w:val="0"/>
          <w:color w:val="auto"/>
          <w:sz w:val="24"/>
          <w:highlight w:val="none"/>
          <w:u w:val="single"/>
        </w:rPr>
        <w:t xml:space="preserve">不接受</w:t>
      </w:r>
      <w:r>
        <w:rPr>
          <w:rFonts w:hint="eastAsia" w:ascii="宋体" w:hAnsi="宋体" w:eastAsia="宋体" w:cs="宋体"/>
          <w:b w:val="0"/>
          <w:color w:val="auto"/>
          <w:sz w:val="24"/>
          <w:highlight w:val="none"/>
        </w:rPr>
        <w:t xml:space="preserve">（接受/不接受）进口服务。</w:t>
      </w:r>
      <w:r/>
    </w:p>
    <w:p>
      <w:pPr>
        <w:spacing w:line="500" w:lineRule="exact"/>
        <w:shd w:val="clear" w:color="auto" w:fill="ffffff" w:themeFill="background1"/>
        <w:rPr>
          <w:rFonts w:hint="eastAsia" w:ascii="宋体" w:hAnsi="宋体" w:eastAsia="宋体" w:cs="宋体"/>
          <w:b/>
          <w:bCs/>
          <w:color w:val="auto"/>
          <w:sz w:val="28"/>
          <w:szCs w:val="24"/>
          <w:highlight w:val="none"/>
          <w:u w:val="none"/>
        </w:rPr>
      </w:pPr>
      <w:r>
        <w:rPr>
          <w:rFonts w:hint="eastAsia" w:ascii="宋体" w:hAnsi="宋体" w:eastAsia="宋体" w:cs="宋体"/>
          <w:b/>
          <w:bCs/>
          <w:color w:val="auto"/>
          <w:sz w:val="28"/>
          <w:szCs w:val="24"/>
          <w:highlight w:val="none"/>
          <w:u w:val="none"/>
        </w:rPr>
        <w:t xml:space="preserve">一、项目概况</w:t>
      </w:r>
      <w:r/>
    </w:p>
    <w:p>
      <w:pPr>
        <w:ind w:left="0" w:right="0" w:firstLine="480"/>
        <w:jc w:val="both"/>
        <w:spacing w:before="0" w:after="0" w:line="499" w:lineRule="atLeast"/>
        <w:shd w:val="clear" w:color="auto" w:fill="ffffff" w:themeFill="background1"/>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根据《宿迁市残疾人意外伤害保险实施办法（试行）》宿残联发【2017】65号文件精神，</w:t>
      </w:r>
      <w:r>
        <w:rPr>
          <w:rFonts w:hint="eastAsia" w:ascii="宋体" w:hAnsi="宋体" w:eastAsia="宋体" w:cs="宋体"/>
          <w:color w:val="auto"/>
          <w:sz w:val="24"/>
          <w:szCs w:val="24"/>
          <w:highlight w:val="none"/>
        </w:rPr>
        <w:t xml:space="preserve">充分发挥商业保险的社会保障作用，帮助残疾人增强对意外伤害和疾病的</w:t>
      </w:r>
      <w:r>
        <w:rPr>
          <w:rFonts w:hint="eastAsia" w:ascii="宋体" w:hAnsi="宋体" w:eastAsia="宋体" w:cs="宋体"/>
          <w:color w:val="auto"/>
          <w:sz w:val="24"/>
          <w:szCs w:val="24"/>
          <w:highlight w:val="none"/>
          <w:lang w:val="en-US" w:eastAsia="zh-CN"/>
        </w:rPr>
        <w:t xml:space="preserve">规避</w:t>
      </w:r>
      <w:r>
        <w:rPr>
          <w:rFonts w:hint="eastAsia" w:ascii="宋体" w:hAnsi="宋体" w:eastAsia="宋体" w:cs="宋体"/>
          <w:color w:val="auto"/>
          <w:sz w:val="24"/>
          <w:szCs w:val="24"/>
          <w:highlight w:val="none"/>
        </w:rPr>
        <w:t xml:space="preserve">能力，减轻家庭、社会和政府的负担，结合泗洪县实际，开展本次残疾人意外险项目。</w:t>
      </w:r>
      <w:r>
        <w:rPr>
          <w:rFonts w:hint="eastAsia" w:ascii="宋体" w:hAnsi="宋体" w:eastAsia="宋体" w:cs="宋体"/>
          <w:color w:val="auto"/>
          <w:sz w:val="24"/>
          <w:szCs w:val="24"/>
          <w:highlight w:val="none"/>
          <w:lang w:eastAsia="zh-CN"/>
        </w:rPr>
        <w:t xml:space="preserve">最终每年按实际符合</w:t>
      </w:r>
      <w:r>
        <w:rPr>
          <w:rFonts w:hint="eastAsia" w:ascii="宋体" w:hAnsi="宋体" w:eastAsia="宋体" w:cs="宋体"/>
          <w:color w:val="auto"/>
          <w:sz w:val="24"/>
          <w:szCs w:val="24"/>
          <w:highlight w:val="none"/>
          <w:lang w:val="en-US" w:eastAsia="zh-CN"/>
        </w:rPr>
        <w:t xml:space="preserve">参保条件的</w:t>
      </w:r>
      <w:r>
        <w:rPr>
          <w:rFonts w:hint="eastAsia" w:ascii="宋体" w:hAnsi="宋体" w:eastAsia="宋体" w:cs="宋体"/>
          <w:color w:val="auto"/>
          <w:sz w:val="24"/>
          <w:szCs w:val="24"/>
          <w:highlight w:val="none"/>
          <w:lang w:eastAsia="zh-CN"/>
        </w:rPr>
        <w:t xml:space="preserve">对象数支付保险费。</w:t>
      </w:r>
      <w:r>
        <w:rPr>
          <w:rFonts w:hint="eastAsia" w:ascii="宋体" w:hAnsi="宋体" w:eastAsia="宋体" w:cs="宋体"/>
          <w:color w:val="auto"/>
          <w:sz w:val="24"/>
          <w:szCs w:val="24"/>
          <w:highlight w:val="none"/>
          <w:lang w:val="en-US" w:eastAsia="zh-CN"/>
        </w:rPr>
        <w:t xml:space="preserve">本项目共分为3个包招标，</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个分包的成交</w:t>
      </w:r>
      <w:r>
        <w:rPr>
          <w:rFonts w:hint="eastAsia" w:ascii="宋体" w:hAnsi="宋体" w:eastAsia="宋体" w:cs="宋体"/>
          <w:color w:val="auto"/>
          <w:sz w:val="24"/>
          <w:szCs w:val="24"/>
          <w:highlight w:val="none"/>
        </w:rPr>
        <w:t xml:space="preserve">相应承保人数比例分别为</w:t>
      </w: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%、30%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具体分</w:t>
      </w:r>
      <w:r>
        <w:rPr>
          <w:rFonts w:hint="eastAsia" w:ascii="宋体" w:hAnsi="宋体" w:eastAsia="宋体" w:cs="宋体"/>
          <w:color w:val="auto"/>
          <w:sz w:val="24"/>
          <w:szCs w:val="24"/>
          <w:highlight w:val="none"/>
          <w:lang w:val="en-US" w:eastAsia="zh-CN"/>
        </w:rPr>
        <w:t xml:space="preserve">包如下：</w:t>
      </w:r>
      <w:r/>
    </w:p>
    <w:p>
      <w:pPr>
        <w:ind w:left="0" w:right="0" w:firstLine="480"/>
        <w:jc w:val="both"/>
        <w:spacing w:before="0" w:after="0" w:line="499" w:lineRule="atLeast"/>
        <w:shd w:val="clear" w:color="auto" w:fill="ffffff" w:themeFill="background1"/>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分包1承担的区域有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大楼街道、石集</w:t>
      </w:r>
      <w:r>
        <w:rPr>
          <w:rFonts w:hint="eastAsia" w:ascii="宋体" w:hAnsi="宋体" w:eastAsia="宋体" w:cs="宋体"/>
          <w:color w:val="auto"/>
          <w:sz w:val="24"/>
          <w:highlight w:val="none"/>
          <w:lang w:eastAsia="zh-CN"/>
        </w:rPr>
        <w:t xml:space="preserve">乡</w:t>
      </w:r>
      <w:r>
        <w:rPr>
          <w:rFonts w:hint="eastAsia" w:ascii="宋体" w:hAnsi="宋体" w:eastAsia="宋体" w:cs="宋体"/>
          <w:color w:val="auto"/>
          <w:sz w:val="24"/>
          <w:highlight w:val="none"/>
        </w:rPr>
        <w:t xml:space="preserve">、临淮镇、半城镇、龙集镇、界集镇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分包1</w:t>
      </w:r>
      <w:r>
        <w:rPr>
          <w:rFonts w:hint="eastAsia" w:ascii="宋体" w:hAnsi="宋体" w:eastAsia="宋体" w:cs="宋体"/>
          <w:color w:val="auto"/>
          <w:sz w:val="24"/>
          <w:highlight w:val="none"/>
        </w:rPr>
        <w:t xml:space="preserve">承保人数比例为</w:t>
      </w:r>
      <w:r>
        <w:rPr>
          <w:rFonts w:hint="eastAsia" w:ascii="宋体" w:hAnsi="宋体" w:eastAsia="宋体" w:cs="宋体"/>
          <w:color w:val="auto"/>
          <w:sz w:val="24"/>
          <w:highlight w:val="none"/>
          <w:lang w:val="en-US" w:eastAsia="zh-CN"/>
        </w:rPr>
        <w:t xml:space="preserve">35</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持证残疾人数约为</w:t>
      </w:r>
      <w:r>
        <w:rPr>
          <w:rFonts w:hint="eastAsia" w:ascii="宋体" w:hAnsi="宋体" w:eastAsia="宋体" w:cs="宋体"/>
          <w:color w:val="auto"/>
          <w:sz w:val="24"/>
          <w:highlight w:val="none"/>
          <w:lang w:val="en-US" w:eastAsia="zh-CN"/>
        </w:rPr>
        <w:t xml:space="preserve">11050</w:t>
      </w:r>
      <w:r>
        <w:rPr>
          <w:rFonts w:hint="eastAsia" w:ascii="宋体" w:hAnsi="宋体" w:eastAsia="宋体" w:cs="宋体"/>
          <w:color w:val="auto"/>
          <w:sz w:val="24"/>
          <w:highlight w:val="none"/>
        </w:rPr>
        <w:t xml:space="preserve">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eastAsia="zh-CN"/>
        </w:rPr>
        <w:t xml:space="preserve">。两年保费预算价为</w:t>
      </w:r>
      <w:r>
        <w:rPr>
          <w:rFonts w:hint="eastAsia" w:ascii="宋体" w:hAnsi="宋体" w:cs="宋体"/>
          <w:i w:val="0"/>
          <w:iCs w:val="0"/>
          <w:color w:val="auto"/>
          <w:sz w:val="22"/>
          <w:szCs w:val="22"/>
          <w:highlight w:val="none"/>
          <w:u w:val="none"/>
          <w:lang w:val="en-US" w:eastAsia="zh-CN" w:bidi="ar"/>
        </w:rPr>
        <w:t xml:space="preserve">88.4</w:t>
      </w:r>
      <w:r>
        <w:rPr>
          <w:rFonts w:hint="eastAsia" w:ascii="宋体" w:hAnsi="宋体" w:eastAsia="宋体" w:cs="宋体"/>
          <w:color w:val="auto"/>
          <w:sz w:val="24"/>
          <w:szCs w:val="24"/>
          <w:highlight w:val="none"/>
          <w:lang w:eastAsia="zh-CN"/>
        </w:rPr>
        <w:t xml:space="preserve">万元，每年按实际符合</w:t>
      </w:r>
      <w:r>
        <w:rPr>
          <w:rFonts w:hint="eastAsia" w:ascii="宋体" w:hAnsi="宋体" w:eastAsia="宋体" w:cs="宋体"/>
          <w:color w:val="auto"/>
          <w:sz w:val="24"/>
          <w:szCs w:val="24"/>
          <w:highlight w:val="none"/>
          <w:lang w:val="en-US" w:eastAsia="zh-CN"/>
        </w:rPr>
        <w:t xml:space="preserve">参保条件的</w:t>
      </w:r>
      <w:r>
        <w:rPr>
          <w:rFonts w:hint="eastAsia" w:ascii="宋体" w:hAnsi="宋体" w:eastAsia="宋体" w:cs="宋体"/>
          <w:color w:val="auto"/>
          <w:sz w:val="24"/>
          <w:szCs w:val="24"/>
          <w:highlight w:val="none"/>
          <w:lang w:eastAsia="zh-CN"/>
        </w:rPr>
        <w:t xml:space="preserve">对象数支付保险费。</w:t>
      </w:r>
      <w:r/>
    </w:p>
    <w:p>
      <w:pPr>
        <w:ind w:left="0" w:right="0" w:firstLine="480"/>
        <w:jc w:val="both"/>
        <w:spacing w:before="0" w:after="0" w:line="499" w:lineRule="atLeast"/>
        <w:shd w:val="clear" w:color="auto" w:fill="ffffff" w:themeFill="background1"/>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分包2承担的区域有：青阳街道、上塘镇、双沟镇、瑶沟乡、天岗湖乡、孙园镇、洪泽湖农场（分包2承保人数比例为35%，持证残疾人数约为11050人）。两年保费预算价88.4万元，每年按实际符合参保条件的对象数支付保险费。</w:t>
      </w:r>
      <w:r/>
    </w:p>
    <w:p>
      <w:pPr>
        <w:ind w:left="0" w:right="0" w:firstLine="480"/>
        <w:jc w:val="both"/>
        <w:spacing w:before="0" w:after="0" w:line="499" w:lineRule="atLeast"/>
        <w:shd w:val="clear" w:color="auto" w:fill="ffffff" w:themeFill="background1"/>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分包3承担的区域有：重岗街道、梅花镇、归仁镇、金锁镇、朱湖镇、车门乡、魏营镇（分包3承保人数比例为30%，持证残疾人数约为9400人）。两年保费预算价为75.2万元，每年按实际符合参保条件的对象数支付保险费。</w:t>
      </w:r>
      <w:r/>
    </w:p>
    <w:p>
      <w:pPr>
        <w:ind w:left="0" w:right="0" w:firstLine="480"/>
        <w:jc w:val="both"/>
        <w:spacing w:before="0" w:after="0" w:line="499" w:lineRule="atLeast"/>
        <w:shd w:val="clear" w:color="auto" w:fill="ffffff" w:themeFill="background1"/>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（4）开评标顺序：开标顺序按分包顺序（即分包1、分包2、分包3），评标顺序同开标顺序。</w:t>
      </w:r>
      <w:r/>
    </w:p>
    <w:p>
      <w:pPr>
        <w:ind w:left="0" w:right="0" w:firstLine="480"/>
        <w:jc w:val="both"/>
        <w:spacing w:before="0" w:after="0" w:line="499" w:lineRule="atLeast"/>
        <w:shd w:val="clear" w:color="auto" w:fill="ffffff" w:themeFill="background1"/>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（5）定标原则：每位供应商只能在一个分包</w:t>
      </w:r>
      <w:r>
        <w:rPr>
          <w:rFonts w:hint="eastAsia" w:ascii="宋体" w:hAnsi="宋体" w:eastAsia="宋体" w:cs="宋体"/>
          <w:color w:val="auto"/>
          <w:sz w:val="24"/>
          <w:szCs w:val="24"/>
          <w:highlight w:val="none"/>
        </w:rPr>
        <w:t xml:space="preserve">上</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。如某供应商已在其中 1 个</w:t>
      </w:r>
      <w:r>
        <w:rPr>
          <w:rFonts w:hint="eastAsia" w:ascii="宋体" w:hAnsi="宋体" w:eastAsia="宋体" w:cs="宋体"/>
          <w:color w:val="auto"/>
          <w:sz w:val="24"/>
          <w:szCs w:val="24"/>
          <w:highlight w:val="none"/>
          <w:lang w:eastAsia="zh-CN"/>
        </w:rPr>
        <w:t xml:space="preserve">分包</w:t>
      </w:r>
      <w:r>
        <w:rPr>
          <w:rFonts w:hint="eastAsia" w:ascii="宋体" w:hAnsi="宋体" w:eastAsia="宋体" w:cs="宋体"/>
          <w:color w:val="auto"/>
          <w:sz w:val="24"/>
          <w:szCs w:val="24"/>
          <w:highlight w:val="none"/>
        </w:rPr>
        <w:t xml:space="preserve">被推荐为第一</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候选人的，则其仍参与其他</w:t>
      </w:r>
      <w:r>
        <w:rPr>
          <w:rFonts w:hint="eastAsia" w:ascii="宋体" w:hAnsi="宋体" w:eastAsia="宋体" w:cs="宋体"/>
          <w:color w:val="auto"/>
          <w:sz w:val="24"/>
          <w:szCs w:val="24"/>
          <w:highlight w:val="none"/>
          <w:lang w:eastAsia="zh-CN"/>
        </w:rPr>
        <w:t xml:space="preserve">分包</w:t>
      </w:r>
      <w:r>
        <w:rPr>
          <w:rFonts w:hint="eastAsia" w:ascii="宋体" w:hAnsi="宋体" w:eastAsia="宋体" w:cs="宋体"/>
          <w:color w:val="auto"/>
          <w:sz w:val="24"/>
          <w:szCs w:val="24"/>
          <w:highlight w:val="none"/>
        </w:rPr>
        <w:t xml:space="preserve">的评标，但不参与推荐</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候选人的排序。详细采购需求见各分包采购文件采购需求部分。</w:t>
      </w:r>
      <w:r/>
    </w:p>
    <w:p>
      <w:pPr>
        <w:ind w:left="0" w:right="0" w:firstLine="480"/>
        <w:jc w:val="both"/>
        <w:spacing w:before="0" w:after="0" w:line="499" w:lineRule="atLeast"/>
        <w:shd w:val="clear" w:color="auto" w:fill="ffffff" w:themeFill="background1"/>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由于每年度符合参保条件的人数中途可能会发生变动，按实际名单人数出具保险保单。年度保险期间人员超出承包比例：</w:t>
      </w: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en-US" w:eastAsia="zh-CN"/>
        </w:rPr>
        <w:t xml:space="preserve">％、30％时，由采购人协调中标单位跨区域出单。</w:t>
      </w:r>
      <w:r/>
    </w:p>
    <w:p>
      <w:pPr>
        <w:pStyle w:val="1555"/>
        <w:ind w:firstLine="482"/>
        <w:spacing w:line="500" w:lineRule="exact"/>
        <w:rPr>
          <w:rStyle w:val="785"/>
          <w:rFonts w:hint="eastAsia" w:ascii="宋体" w:hAnsi="宋体" w:eastAsia="宋体" w:cs="宋体"/>
          <w:b/>
          <w:bCs/>
          <w:color w:val="auto"/>
          <w:sz w:val="24"/>
          <w:highlight w:val="none"/>
        </w:rPr>
      </w:pPr>
      <w:r>
        <w:rPr>
          <w:rStyle w:val="785"/>
          <w:rFonts w:hint="eastAsia" w:ascii="宋体" w:hAnsi="宋体" w:eastAsia="宋体" w:cs="宋体"/>
          <w:b/>
          <w:bCs/>
          <w:color w:val="auto"/>
          <w:sz w:val="24"/>
          <w:highlight w:val="none"/>
        </w:rPr>
        <w:t xml:space="preserve">二、项目服务需求</w:t>
      </w:r>
      <w:r/>
    </w:p>
    <w:p>
      <w:pPr>
        <w:pStyle w:val="1555"/>
        <w:ind w:firstLine="480"/>
        <w:spacing w:line="500" w:lineRule="exact"/>
        <w:rPr>
          <w:rStyle w:val="785"/>
          <w:rFonts w:hint="eastAsia" w:ascii="宋体" w:hAnsi="宋体" w:cs="宋体" w:eastAsiaTheme="minorEastAsia"/>
          <w:b w:val="0"/>
          <w:bCs w:val="0"/>
          <w:color w:val="auto"/>
          <w:sz w:val="24"/>
          <w:highlight w:val="none"/>
          <w:lang w:val="en-US" w:eastAsia="zh-CN"/>
        </w:rPr>
      </w:pPr>
      <w:r>
        <w:rPr>
          <w:rStyle w:val="785"/>
          <w:rFonts w:hint="eastAsia" w:ascii="宋体" w:hAnsi="宋体" w:cs="宋体" w:eastAsiaTheme="minorEastAsia"/>
          <w:b w:val="0"/>
          <w:bCs w:val="0"/>
          <w:color w:val="auto"/>
          <w:sz w:val="24"/>
          <w:highlight w:val="none"/>
          <w:lang w:val="en-US" w:eastAsia="zh-CN"/>
        </w:rPr>
        <w:t xml:space="preserve">1.承保服务。供应商需根据本项目实际需求提供专业的承保服务，包括承保服务计划等。</w:t>
      </w:r>
      <w:r/>
    </w:p>
    <w:p>
      <w:pPr>
        <w:pStyle w:val="1555"/>
        <w:ind w:firstLine="480"/>
        <w:spacing w:line="500" w:lineRule="exact"/>
        <w:rPr>
          <w:rStyle w:val="785"/>
          <w:rFonts w:hint="default" w:ascii="宋体" w:hAnsi="宋体" w:cs="宋体" w:eastAsiaTheme="minorEastAsia"/>
          <w:b w:val="0"/>
          <w:bCs w:val="0"/>
          <w:color w:val="auto"/>
          <w:sz w:val="24"/>
          <w:highlight w:val="none"/>
          <w:lang w:val="en-US" w:eastAsia="zh-CN"/>
        </w:rPr>
      </w:pPr>
      <w:r>
        <w:rPr>
          <w:rStyle w:val="785"/>
          <w:rFonts w:hint="eastAsia" w:ascii="宋体" w:hAnsi="宋体" w:cs="宋体" w:eastAsiaTheme="minorEastAsia"/>
          <w:b w:val="0"/>
          <w:bCs w:val="0"/>
          <w:color w:val="auto"/>
          <w:sz w:val="24"/>
          <w:highlight w:val="none"/>
          <w:lang w:val="en-US" w:eastAsia="zh-CN"/>
        </w:rPr>
        <w:t xml:space="preserve">2.</w:t>
      </w:r>
      <w:r>
        <w:rPr>
          <w:rStyle w:val="785"/>
          <w:rFonts w:hint="eastAsia" w:ascii="宋体" w:hAnsi="宋体" w:cs="宋体" w:eastAsiaTheme="minorEastAsia"/>
          <w:b w:val="0"/>
          <w:bCs w:val="0"/>
          <w:color w:val="auto"/>
          <w:sz w:val="24"/>
          <w:highlight w:val="none"/>
          <w:rtl w:val="0"/>
          <w:lang w:val="en-US" w:eastAsia="zh-CN"/>
        </w:rPr>
        <w:t xml:space="preserve">应急预案</w:t>
      </w:r>
      <w:r>
        <w:rPr>
          <w:rStyle w:val="785"/>
          <w:rFonts w:hint="eastAsia" w:ascii="宋体" w:hAnsi="宋体" w:cs="宋体" w:eastAsiaTheme="minorEastAsia"/>
          <w:b w:val="0"/>
          <w:bCs w:val="0"/>
          <w:color w:val="auto"/>
          <w:sz w:val="24"/>
          <w:highlight w:val="none"/>
          <w:lang w:val="en-US" w:eastAsia="zh-CN"/>
        </w:rPr>
        <w:t xml:space="preserve">。供应商需</w:t>
      </w:r>
      <w:r>
        <w:rPr>
          <w:rStyle w:val="785"/>
          <w:rFonts w:hint="eastAsia" w:ascii="宋体" w:hAnsi="宋体" w:cs="宋体" w:eastAsiaTheme="minorEastAsia"/>
          <w:b w:val="0"/>
          <w:bCs w:val="0"/>
          <w:color w:val="auto"/>
          <w:sz w:val="24"/>
          <w:highlight w:val="none"/>
          <w:rtl w:val="0"/>
          <w:lang w:val="en-US" w:eastAsia="zh-CN"/>
        </w:rPr>
        <w:t xml:space="preserve">建立突发意外事故应急方案。</w:t>
      </w:r>
      <w:r/>
    </w:p>
    <w:p>
      <w:pPr>
        <w:pStyle w:val="1555"/>
        <w:ind w:firstLine="480"/>
        <w:spacing w:line="500" w:lineRule="exact"/>
        <w:rPr>
          <w:rStyle w:val="785"/>
          <w:rFonts w:hint="eastAsia" w:ascii="宋体" w:hAnsi="宋体" w:cs="宋体" w:eastAsiaTheme="minorEastAsia"/>
          <w:b w:val="0"/>
          <w:bCs w:val="0"/>
          <w:color w:val="auto"/>
          <w:sz w:val="24"/>
          <w:highlight w:val="none"/>
          <w:lang w:val="en-US" w:eastAsia="zh-CN"/>
        </w:rPr>
      </w:pPr>
      <w:r>
        <w:rPr>
          <w:rStyle w:val="785"/>
          <w:rFonts w:hint="eastAsia" w:ascii="宋体" w:hAnsi="宋体" w:cs="宋体" w:eastAsiaTheme="minorEastAsia"/>
          <w:b w:val="0"/>
          <w:bCs w:val="0"/>
          <w:color w:val="auto"/>
          <w:sz w:val="24"/>
          <w:highlight w:val="none"/>
          <w:lang w:val="en-US" w:eastAsia="zh-CN"/>
        </w:rPr>
        <w:t xml:space="preserve">3. 理赔服务。供应商需提供便捷的理赔服务，包括建立理赔绿色通道、成立理赔专家组、制定理赔服务措施、承诺赴事故现场时间、承诺理赔赔款支付时限等。</w:t>
      </w:r>
      <w:r/>
    </w:p>
    <w:p>
      <w:pPr>
        <w:pStyle w:val="1555"/>
        <w:ind w:firstLine="480"/>
        <w:spacing w:line="500" w:lineRule="exact"/>
        <w:rPr>
          <w:rStyle w:val="785"/>
          <w:rFonts w:hint="eastAsia" w:ascii="宋体" w:hAnsi="宋体" w:cs="宋体" w:eastAsiaTheme="minorEastAsia"/>
          <w:b w:val="0"/>
          <w:bCs w:val="0"/>
          <w:color w:val="auto"/>
          <w:sz w:val="24"/>
          <w:highlight w:val="none"/>
          <w:lang w:val="en-US" w:eastAsia="zh-CN"/>
        </w:rPr>
      </w:pPr>
      <w:r>
        <w:rPr>
          <w:rStyle w:val="785"/>
          <w:rFonts w:hint="eastAsia" w:ascii="宋体" w:hAnsi="宋体" w:cs="宋体" w:eastAsiaTheme="minorEastAsia"/>
          <w:b w:val="0"/>
          <w:bCs w:val="0"/>
          <w:color w:val="auto"/>
          <w:sz w:val="24"/>
          <w:highlight w:val="none"/>
          <w:lang w:val="en-US" w:eastAsia="zh-CN"/>
        </w:rPr>
        <w:t xml:space="preserve">4. 宣传服务。供应商需注重保险宣传，提供宣传服务，包括保单到人措施、安全防范宣传举措等。</w:t>
      </w:r>
      <w:r/>
    </w:p>
    <w:p>
      <w:pPr>
        <w:pStyle w:val="1555"/>
        <w:ind w:firstLine="480"/>
        <w:spacing w:line="500" w:lineRule="exact"/>
        <w:rPr>
          <w:rStyle w:val="785"/>
          <w:rFonts w:hint="eastAsia" w:ascii="宋体" w:hAnsi="宋体" w:cs="宋体" w:eastAsiaTheme="minorEastAsia"/>
          <w:b w:val="0"/>
          <w:bCs w:val="0"/>
          <w:color w:val="auto"/>
          <w:sz w:val="24"/>
          <w:highlight w:val="none"/>
          <w:lang w:val="en-US" w:eastAsia="zh-CN"/>
        </w:rPr>
      </w:pPr>
      <w:r>
        <w:rPr>
          <w:rStyle w:val="785"/>
          <w:rFonts w:hint="eastAsia" w:ascii="宋体" w:hAnsi="宋体" w:cs="宋体" w:eastAsiaTheme="minorEastAsia"/>
          <w:b w:val="0"/>
          <w:bCs w:val="0"/>
          <w:color w:val="auto"/>
          <w:sz w:val="24"/>
          <w:highlight w:val="none"/>
          <w:lang w:val="en-US" w:eastAsia="zh-CN"/>
        </w:rPr>
        <w:t xml:space="preserve">5. 其他服务。供应商需建立信息反馈系统和预赔付机制，通过网点就近就便服务，成立项目组等。</w:t>
      </w:r>
      <w:r/>
    </w:p>
    <w:p>
      <w:pPr>
        <w:pStyle w:val="1555"/>
        <w:ind w:firstLine="482"/>
        <w:spacing w:line="500" w:lineRule="exact"/>
        <w:rPr>
          <w:rStyle w:val="785"/>
          <w:rFonts w:hint="eastAsia" w:ascii="宋体" w:hAnsi="宋体" w:eastAsia="宋体" w:cs="宋体"/>
          <w:b/>
          <w:bCs/>
          <w:color w:val="auto"/>
          <w:sz w:val="24"/>
          <w:highlight w:val="none"/>
        </w:rPr>
      </w:pPr>
      <w:r>
        <w:rPr>
          <w:rStyle w:val="785"/>
          <w:rFonts w:hint="eastAsia" w:ascii="宋体" w:hAnsi="宋体" w:eastAsia="宋体" w:cs="宋体"/>
          <w:b/>
          <w:bCs/>
          <w:color w:val="auto"/>
          <w:sz w:val="24"/>
          <w:highlight w:val="none"/>
        </w:rPr>
        <w:t xml:space="preserve">三、商务需求</w:t>
      </w:r>
      <w:r/>
    </w:p>
    <w:p>
      <w:pPr>
        <w:pStyle w:val="1555"/>
        <w:ind w:firstLine="360"/>
        <w:spacing w:line="500" w:lineRule="exact"/>
        <w:rPr>
          <w:rStyle w:val="785"/>
          <w:rFonts w:hint="eastAsia" w:ascii="宋体" w:hAnsi="宋体" w:eastAsia="宋体" w:cs="宋体"/>
          <w:b w:val="0"/>
          <w:bCs w:val="0"/>
          <w:color w:val="auto"/>
          <w:sz w:val="24"/>
          <w:highlight w:val="none"/>
        </w:rPr>
      </w:pPr>
      <w:r>
        <w:rPr>
          <w:rStyle w:val="785"/>
          <w:rFonts w:hint="eastAsia" w:ascii="宋体" w:hAnsi="宋体" w:eastAsia="宋体" w:cs="宋体"/>
          <w:b w:val="0"/>
          <w:bCs w:val="0"/>
          <w:color w:val="auto"/>
          <w:sz w:val="24"/>
          <w:highlight w:val="none"/>
        </w:rPr>
        <w:t xml:space="preserve">（一）保险责任</w:t>
      </w:r>
      <w:r/>
    </w:p>
    <w:p>
      <w:pPr>
        <w:pStyle w:val="1556"/>
        <w:ind w:firstLine="446"/>
        <w:spacing w:line="500" w:lineRule="exact"/>
        <w:rPr>
          <w:rStyle w:val="785"/>
          <w:rFonts w:hint="eastAsia" w:ascii="宋体" w:hAnsi="宋体" w:eastAsia="宋体" w:cs="宋体"/>
          <w:b w:val="0"/>
          <w:bCs w:val="0"/>
          <w:color w:val="auto"/>
          <w:sz w:val="24"/>
          <w:szCs w:val="24"/>
          <w:highlight w:val="none"/>
        </w:rPr>
      </w:pPr>
      <w:r>
        <w:rPr>
          <w:rStyle w:val="785"/>
          <w:rFonts w:hint="eastAsia" w:ascii="宋体" w:hAnsi="宋体" w:eastAsia="宋体" w:cs="宋体"/>
          <w:b w:val="0"/>
          <w:bCs w:val="0"/>
          <w:color w:val="auto"/>
          <w:sz w:val="24"/>
          <w:szCs w:val="24"/>
          <w:highlight w:val="none"/>
        </w:rPr>
        <w:t xml:space="preserve">1. 保险责任范围</w:t>
      </w:r>
      <w:r/>
    </w:p>
    <w:p>
      <w:pPr>
        <w:pStyle w:val="844"/>
        <w:ind w:left="0" w:firstLine="480"/>
        <w:jc w:val="both"/>
        <w:spacing w:line="500" w:lineRule="exact"/>
        <w:rPr>
          <w:rStyle w:val="785"/>
          <w:rFonts w:hint="eastAsia" w:ascii="宋体" w:hAnsi="宋体" w:eastAsia="宋体" w:cs="宋体"/>
          <w:b w:val="0"/>
          <w:bCs w:val="0"/>
          <w:color w:val="auto"/>
          <w:sz w:val="24"/>
          <w:szCs w:val="24"/>
          <w:highlight w:val="none"/>
        </w:rPr>
      </w:pPr>
      <w:r>
        <w:rPr>
          <w:rStyle w:val="785"/>
          <w:rFonts w:hint="eastAsia" w:ascii="宋体" w:hAnsi="宋体" w:eastAsia="宋体" w:cs="宋体"/>
          <w:b w:val="0"/>
          <w:bCs w:val="0"/>
          <w:color w:val="auto"/>
          <w:sz w:val="24"/>
          <w:szCs w:val="24"/>
          <w:highlight w:val="none"/>
        </w:rPr>
        <w:t xml:space="preserve">在保险期间或保险合同载明的追溯期内，凡具有</w:t>
      </w:r>
      <w:r>
        <w:rPr>
          <w:rStyle w:val="785"/>
          <w:rFonts w:hint="eastAsia" w:ascii="宋体" w:hAnsi="宋体" w:eastAsia="宋体" w:cs="宋体"/>
          <w:b w:val="0"/>
          <w:bCs w:val="0"/>
          <w:color w:val="auto"/>
          <w:sz w:val="24"/>
          <w:szCs w:val="24"/>
          <w:highlight w:val="none"/>
          <w:lang w:eastAsia="zh-CN"/>
        </w:rPr>
        <w:t xml:space="preserve">泗洪县</w:t>
      </w:r>
      <w:r>
        <w:rPr>
          <w:rStyle w:val="785"/>
          <w:rFonts w:hint="eastAsia" w:ascii="宋体" w:hAnsi="宋体" w:eastAsia="宋体" w:cs="宋体"/>
          <w:b w:val="0"/>
          <w:bCs w:val="0"/>
          <w:color w:val="auto"/>
          <w:sz w:val="24"/>
          <w:szCs w:val="24"/>
          <w:highlight w:val="none"/>
        </w:rPr>
        <w:t xml:space="preserve">户籍，持有第二代《中华人民共和国残疾人证》的残疾人，因发生意外事故造成的人身损害，首次确诊重大疾病，在保险期间内向保险人提出损害赔偿请求的，保险人按照保险合同的约定负责赔偿。</w:t>
      </w:r>
      <w:r/>
    </w:p>
    <w:p>
      <w:pPr>
        <w:pStyle w:val="1556"/>
        <w:ind w:firstLine="446"/>
        <w:spacing w:line="500" w:lineRule="exact"/>
        <w:rPr>
          <w:rStyle w:val="785"/>
          <w:rFonts w:hint="eastAsia" w:ascii="宋体" w:hAnsi="宋体" w:eastAsia="宋体" w:cs="宋体"/>
          <w:b w:val="0"/>
          <w:bCs w:val="0"/>
          <w:color w:val="auto"/>
          <w:sz w:val="24"/>
          <w:szCs w:val="24"/>
          <w:highlight w:val="none"/>
        </w:rPr>
      </w:pPr>
      <w:r>
        <w:rPr>
          <w:rStyle w:val="785"/>
          <w:rFonts w:hint="eastAsia" w:ascii="宋体" w:hAnsi="宋体" w:eastAsia="宋体" w:cs="宋体"/>
          <w:b w:val="0"/>
          <w:bCs w:val="0"/>
          <w:color w:val="auto"/>
          <w:sz w:val="24"/>
          <w:szCs w:val="24"/>
          <w:highlight w:val="none"/>
        </w:rPr>
        <w:t xml:space="preserve">2. 赔偿限额，</w:t>
      </w:r>
      <w:r>
        <w:rPr>
          <w:rStyle w:val="785"/>
          <w:rFonts w:hint="eastAsia" w:ascii="宋体" w:hAnsi="宋体" w:cs="宋体"/>
          <w:b w:val="0"/>
          <w:bCs w:val="0"/>
          <w:color w:val="auto"/>
          <w:sz w:val="24"/>
          <w:szCs w:val="24"/>
          <w:highlight w:val="none"/>
          <w:lang w:eastAsia="zh-CN"/>
        </w:rPr>
        <w:t xml:space="preserve">供应商</w:t>
      </w:r>
      <w:r>
        <w:rPr>
          <w:rStyle w:val="785"/>
          <w:rFonts w:hint="eastAsia" w:ascii="宋体" w:hAnsi="宋体" w:eastAsia="宋体" w:cs="宋体"/>
          <w:b w:val="0"/>
          <w:bCs w:val="0"/>
          <w:color w:val="auto"/>
          <w:sz w:val="24"/>
          <w:szCs w:val="24"/>
          <w:highlight w:val="none"/>
        </w:rPr>
        <w:t xml:space="preserve">所报赔偿限额应不低于下列对应赔偿限额：</w:t>
      </w:r>
      <w:r/>
    </w:p>
    <w:p>
      <w:pPr>
        <w:pStyle w:val="1556"/>
        <w:ind w:firstLine="446"/>
        <w:spacing w:line="500" w:lineRule="exact"/>
        <w:rPr>
          <w:rStyle w:val="785"/>
          <w:rFonts w:hint="eastAsia" w:ascii="宋体" w:hAnsi="宋体" w:eastAsia="宋体" w:cs="宋体"/>
          <w:b w:val="0"/>
          <w:bCs w:val="0"/>
          <w:color w:val="auto"/>
          <w:sz w:val="24"/>
          <w:szCs w:val="24"/>
          <w:highlight w:val="none"/>
        </w:rPr>
      </w:pPr>
      <w:r>
        <w:rPr>
          <w:rStyle w:val="785"/>
          <w:rFonts w:hint="eastAsia" w:ascii="宋体" w:hAnsi="宋体" w:eastAsia="宋体" w:cs="宋体"/>
          <w:b w:val="0"/>
          <w:bCs w:val="0"/>
          <w:color w:val="auto"/>
          <w:sz w:val="24"/>
          <w:szCs w:val="24"/>
          <w:highlight w:val="none"/>
        </w:rPr>
        <w:t xml:space="preserve">（1）人身意外伤害身故基础赔偿限额</w:t>
      </w:r>
      <w:r>
        <w:rPr>
          <w:rStyle w:val="785"/>
          <w:rFonts w:hint="eastAsia" w:ascii="宋体" w:hAnsi="宋体" w:eastAsia="宋体" w:cs="宋体"/>
          <w:b w:val="0"/>
          <w:bCs w:val="0"/>
          <w:color w:val="auto"/>
          <w:sz w:val="24"/>
          <w:szCs w:val="24"/>
          <w:highlight w:val="none"/>
          <w:lang w:val="en-US" w:eastAsia="zh-CN"/>
        </w:rPr>
        <w:t xml:space="preserve">3</w:t>
      </w:r>
      <w:r>
        <w:rPr>
          <w:rStyle w:val="785"/>
          <w:rFonts w:hint="eastAsia" w:ascii="宋体" w:hAnsi="宋体" w:eastAsia="宋体" w:cs="宋体"/>
          <w:b w:val="0"/>
          <w:bCs w:val="0"/>
          <w:color w:val="auto"/>
          <w:sz w:val="24"/>
          <w:szCs w:val="24"/>
          <w:highlight w:val="none"/>
        </w:rPr>
        <w:t xml:space="preserve">0000元/人；</w:t>
      </w:r>
      <w:r/>
    </w:p>
    <w:p>
      <w:pPr>
        <w:pStyle w:val="1556"/>
        <w:ind w:firstLine="446"/>
        <w:spacing w:line="500" w:lineRule="exact"/>
        <w:rPr>
          <w:rStyle w:val="785"/>
          <w:rFonts w:hint="eastAsia" w:ascii="宋体" w:hAnsi="宋体" w:eastAsia="宋体" w:cs="宋体"/>
          <w:b w:val="0"/>
          <w:bCs w:val="0"/>
          <w:color w:val="auto"/>
          <w:sz w:val="24"/>
          <w:szCs w:val="24"/>
          <w:highlight w:val="none"/>
        </w:rPr>
      </w:pPr>
      <w:r>
        <w:rPr>
          <w:rStyle w:val="785"/>
          <w:rFonts w:hint="eastAsia" w:ascii="宋体" w:hAnsi="宋体" w:eastAsia="宋体" w:cs="宋体"/>
          <w:b w:val="0"/>
          <w:bCs w:val="0"/>
          <w:color w:val="auto"/>
          <w:sz w:val="24"/>
          <w:szCs w:val="24"/>
          <w:highlight w:val="none"/>
        </w:rPr>
        <w:t xml:space="preserve">（2）人身意外伤害残疾根据伤残评定等级（</w:t>
      </w:r>
      <w:r>
        <w:rPr>
          <w:rStyle w:val="785"/>
          <w:rFonts w:hint="eastAsia" w:ascii="宋体" w:hAnsi="宋体" w:cs="宋体"/>
          <w:b w:val="0"/>
          <w:bCs w:val="0"/>
          <w:color w:val="auto"/>
          <w:sz w:val="24"/>
          <w:szCs w:val="24"/>
          <w:highlight w:val="none"/>
          <w:lang w:val="en-US" w:eastAsia="zh-CN"/>
        </w:rPr>
        <w:t xml:space="preserve">1-10</w:t>
      </w:r>
      <w:r>
        <w:rPr>
          <w:rStyle w:val="785"/>
          <w:rFonts w:hint="eastAsia" w:ascii="宋体" w:hAnsi="宋体" w:eastAsia="宋体" w:cs="宋体"/>
          <w:b w:val="0"/>
          <w:bCs w:val="0"/>
          <w:color w:val="auto"/>
          <w:sz w:val="24"/>
          <w:szCs w:val="24"/>
          <w:highlight w:val="none"/>
        </w:rPr>
        <w:t xml:space="preserve">级）确定赔付标准，赔付标准按等级</w:t>
      </w:r>
      <w:r>
        <w:rPr>
          <w:rStyle w:val="785"/>
          <w:rFonts w:hint="eastAsia" w:ascii="宋体" w:hAnsi="宋体" w:cs="宋体"/>
          <w:b w:val="0"/>
          <w:bCs w:val="0"/>
          <w:color w:val="auto"/>
          <w:sz w:val="24"/>
          <w:szCs w:val="24"/>
          <w:highlight w:val="none"/>
          <w:lang w:val="en-US" w:eastAsia="zh-CN"/>
        </w:rPr>
        <w:t xml:space="preserve">1-10</w:t>
      </w:r>
      <w:r>
        <w:rPr>
          <w:rStyle w:val="785"/>
          <w:rFonts w:hint="eastAsia" w:ascii="宋体" w:hAnsi="宋体" w:eastAsia="宋体" w:cs="宋体"/>
          <w:b w:val="0"/>
          <w:bCs w:val="0"/>
          <w:color w:val="auto"/>
          <w:sz w:val="24"/>
          <w:szCs w:val="24"/>
          <w:highlight w:val="none"/>
        </w:rPr>
        <w:t xml:space="preserve">级逐级递增10%，最低为10级，基础赔偿限额</w:t>
      </w:r>
      <w:r>
        <w:rPr>
          <w:rStyle w:val="785"/>
          <w:rFonts w:hint="eastAsia" w:ascii="宋体" w:hAnsi="宋体" w:eastAsia="宋体" w:cs="宋体"/>
          <w:b w:val="0"/>
          <w:bCs w:val="0"/>
          <w:color w:val="auto"/>
          <w:sz w:val="24"/>
          <w:szCs w:val="24"/>
          <w:highlight w:val="none"/>
          <w:lang w:val="en-US" w:eastAsia="zh-CN"/>
        </w:rPr>
        <w:t xml:space="preserve">6</w:t>
      </w:r>
      <w:r>
        <w:rPr>
          <w:rStyle w:val="785"/>
          <w:rFonts w:hint="eastAsia" w:ascii="宋体" w:hAnsi="宋体" w:eastAsia="宋体" w:cs="宋体"/>
          <w:b w:val="0"/>
          <w:bCs w:val="0"/>
          <w:color w:val="auto"/>
          <w:sz w:val="24"/>
          <w:szCs w:val="24"/>
          <w:highlight w:val="none"/>
        </w:rPr>
        <w:t xml:space="preserve">0000元/人；</w:t>
      </w:r>
      <w:r/>
    </w:p>
    <w:p>
      <w:pPr>
        <w:pStyle w:val="1556"/>
        <w:ind w:firstLine="446"/>
        <w:spacing w:line="500" w:lineRule="exact"/>
        <w:rPr>
          <w:rStyle w:val="785"/>
          <w:rFonts w:hint="eastAsia" w:ascii="宋体" w:hAnsi="宋体" w:eastAsia="宋体" w:cs="宋体"/>
          <w:b w:val="0"/>
          <w:bCs w:val="0"/>
          <w:color w:val="auto"/>
          <w:sz w:val="24"/>
          <w:szCs w:val="24"/>
          <w:highlight w:val="none"/>
        </w:rPr>
      </w:pPr>
      <w:r>
        <w:rPr>
          <w:rStyle w:val="785"/>
          <w:rFonts w:hint="eastAsia" w:ascii="宋体" w:hAnsi="宋体" w:eastAsia="宋体" w:cs="宋体"/>
          <w:b w:val="0"/>
          <w:bCs w:val="0"/>
          <w:color w:val="auto"/>
          <w:sz w:val="24"/>
          <w:szCs w:val="24"/>
          <w:highlight w:val="none"/>
        </w:rPr>
        <w:t xml:space="preserve">（3）附加意外伤害医疗基础赔偿限额2</w:t>
      </w:r>
      <w:r>
        <w:rPr>
          <w:rStyle w:val="785"/>
          <w:rFonts w:hint="eastAsia" w:ascii="宋体" w:hAnsi="宋体" w:eastAsia="宋体" w:cs="宋体"/>
          <w:b w:val="0"/>
          <w:bCs w:val="0"/>
          <w:color w:val="auto"/>
          <w:sz w:val="24"/>
          <w:szCs w:val="24"/>
          <w:highlight w:val="none"/>
          <w:lang w:val="en-US" w:eastAsia="zh-CN"/>
        </w:rPr>
        <w:t xml:space="preserve">6</w:t>
      </w:r>
      <w:r>
        <w:rPr>
          <w:rStyle w:val="785"/>
          <w:rFonts w:hint="eastAsia" w:ascii="宋体" w:hAnsi="宋体" w:eastAsia="宋体" w:cs="宋体"/>
          <w:b w:val="0"/>
          <w:bCs w:val="0"/>
          <w:color w:val="auto"/>
          <w:sz w:val="24"/>
          <w:szCs w:val="24"/>
          <w:highlight w:val="none"/>
        </w:rPr>
        <w:t xml:space="preserve">000元/人（其中门诊最高限额2000元/人，</w:t>
      </w:r>
      <w:r>
        <w:rPr>
          <w:rStyle w:val="785"/>
          <w:rFonts w:hint="eastAsia" w:ascii="宋体" w:hAnsi="宋体" w:eastAsia="宋体" w:cs="宋体"/>
          <w:b w:val="0"/>
          <w:bCs w:val="0"/>
          <w:color w:val="auto"/>
          <w:sz w:val="24"/>
          <w:szCs w:val="24"/>
          <w:highlight w:val="none"/>
        </w:rPr>
        <w:t xml:space="preserve">免赔</w:t>
      </w:r>
      <w:r>
        <w:rPr>
          <w:rStyle w:val="785"/>
          <w:rFonts w:hint="eastAsia" w:ascii="宋体" w:hAnsi="宋体" w:cs="宋体"/>
          <w:b w:val="0"/>
          <w:bCs w:val="0"/>
          <w:color w:val="auto"/>
          <w:sz w:val="24"/>
          <w:szCs w:val="24"/>
          <w:highlight w:val="none"/>
          <w:lang w:val="en-US" w:eastAsia="zh-CN"/>
        </w:rPr>
        <w:t xml:space="preserve">额</w:t>
      </w:r>
      <w:r>
        <w:rPr>
          <w:rStyle w:val="785"/>
          <w:rFonts w:hint="eastAsia" w:ascii="宋体" w:hAnsi="宋体" w:eastAsia="宋体" w:cs="宋体"/>
          <w:b w:val="0"/>
          <w:bCs w:val="0"/>
          <w:color w:val="auto"/>
          <w:sz w:val="24"/>
          <w:szCs w:val="24"/>
          <w:highlight w:val="none"/>
        </w:rPr>
        <w:t xml:space="preserve">：扣除100元后按合规医疗费的90%赔付）；</w:t>
      </w:r>
      <w:r/>
    </w:p>
    <w:p>
      <w:pPr>
        <w:pStyle w:val="1556"/>
        <w:ind w:firstLine="446"/>
        <w:spacing w:line="500" w:lineRule="exact"/>
        <w:rPr>
          <w:rStyle w:val="785"/>
          <w:rFonts w:hint="eastAsia" w:ascii="宋体" w:hAnsi="宋体" w:eastAsia="宋体" w:cs="宋体"/>
          <w:b w:val="0"/>
          <w:bCs w:val="0"/>
          <w:color w:val="auto"/>
          <w:sz w:val="24"/>
          <w:szCs w:val="24"/>
          <w:highlight w:val="none"/>
        </w:rPr>
      </w:pPr>
      <w:r>
        <w:rPr>
          <w:rStyle w:val="785"/>
          <w:rFonts w:hint="eastAsia" w:ascii="宋体" w:hAnsi="宋体" w:eastAsia="宋体" w:cs="宋体"/>
          <w:b w:val="0"/>
          <w:bCs w:val="0"/>
          <w:color w:val="auto"/>
          <w:sz w:val="24"/>
          <w:szCs w:val="24"/>
          <w:highlight w:val="none"/>
        </w:rPr>
        <w:t xml:space="preserve">（4）因首次确诊重大疾病发生住院医疗费用自付部分，按70%补偿，补偿限额最高10000元/人；</w:t>
      </w:r>
      <w:r/>
    </w:p>
    <w:p>
      <w:pPr>
        <w:pStyle w:val="1556"/>
        <w:ind w:firstLine="446"/>
        <w:spacing w:line="500" w:lineRule="exact"/>
        <w:rPr>
          <w:rStyle w:val="785"/>
          <w:rFonts w:hint="eastAsia" w:ascii="宋体" w:hAnsi="宋体" w:eastAsia="宋体" w:cs="宋体"/>
          <w:b w:val="0"/>
          <w:bCs w:val="0"/>
          <w:color w:val="auto"/>
          <w:sz w:val="24"/>
          <w:szCs w:val="24"/>
          <w:highlight w:val="none"/>
        </w:rPr>
      </w:pPr>
      <w:r>
        <w:rPr>
          <w:rStyle w:val="785"/>
          <w:rFonts w:hint="eastAsia" w:ascii="宋体" w:hAnsi="宋体" w:eastAsia="宋体" w:cs="宋体"/>
          <w:b w:val="0"/>
          <w:bCs w:val="0"/>
          <w:color w:val="auto"/>
          <w:sz w:val="24"/>
          <w:szCs w:val="24"/>
          <w:highlight w:val="none"/>
        </w:rPr>
        <w:t xml:space="preserve">（5）经二级及以上医疗机构首次确诊的重大疾病赔偿限额10000元/人；  </w:t>
      </w:r>
      <w:r/>
    </w:p>
    <w:p>
      <w:pPr>
        <w:pStyle w:val="1556"/>
        <w:ind w:firstLine="446"/>
        <w:spacing w:line="500" w:lineRule="exact"/>
        <w:rPr>
          <w:rStyle w:val="785"/>
          <w:rFonts w:hint="eastAsia" w:ascii="宋体" w:hAnsi="宋体" w:eastAsia="宋体" w:cs="宋体"/>
          <w:b w:val="0"/>
          <w:bCs w:val="0"/>
          <w:color w:val="auto"/>
          <w:sz w:val="24"/>
          <w:szCs w:val="24"/>
          <w:highlight w:val="none"/>
        </w:rPr>
      </w:pPr>
      <w:r>
        <w:rPr>
          <w:rStyle w:val="785"/>
          <w:rFonts w:hint="eastAsia" w:ascii="宋体" w:hAnsi="宋体" w:eastAsia="宋体" w:cs="宋体"/>
          <w:b w:val="0"/>
          <w:bCs w:val="0"/>
          <w:color w:val="auto"/>
          <w:sz w:val="24"/>
          <w:szCs w:val="24"/>
          <w:highlight w:val="none"/>
        </w:rPr>
        <w:t xml:space="preserve">（6）意外伤害住院津贴、首次确诊重大疾病住院津贴赔偿限额100元/天/人，最高90天，免赔1天</w:t>
      </w:r>
      <w:r>
        <w:rPr>
          <w:rStyle w:val="785"/>
          <w:rFonts w:hint="eastAsia" w:ascii="宋体" w:hAnsi="宋体" w:cs="宋体"/>
          <w:b w:val="0"/>
          <w:bCs w:val="0"/>
          <w:color w:val="auto"/>
          <w:sz w:val="24"/>
          <w:szCs w:val="24"/>
          <w:highlight w:val="none"/>
          <w:lang w:eastAsia="zh-CN"/>
        </w:rPr>
        <w:t xml:space="preserve">；</w:t>
      </w:r>
      <w:r>
        <w:rPr>
          <w:rStyle w:val="785"/>
          <w:rFonts w:hint="eastAsia" w:ascii="宋体" w:hAnsi="宋体" w:eastAsia="宋体" w:cs="宋体"/>
          <w:b w:val="0"/>
          <w:bCs w:val="0"/>
          <w:color w:val="auto"/>
          <w:sz w:val="24"/>
          <w:szCs w:val="24"/>
          <w:highlight w:val="none"/>
        </w:rPr>
        <w:t xml:space="preserve"> </w:t>
      </w:r>
      <w:r>
        <w:rPr>
          <w:rStyle w:val="785"/>
          <w:rFonts w:hint="eastAsia" w:ascii="宋体" w:hAnsi="宋体" w:eastAsia="宋体" w:cs="宋体"/>
          <w:b w:val="0"/>
          <w:bCs w:val="0"/>
          <w:color w:val="auto"/>
          <w:sz w:val="24"/>
          <w:szCs w:val="24"/>
          <w:highlight w:val="none"/>
        </w:rPr>
        <w:t xml:space="preserve">   </w:t>
      </w:r>
      <w:r/>
    </w:p>
    <w:p>
      <w:pPr>
        <w:pStyle w:val="1556"/>
        <w:ind w:firstLine="446"/>
        <w:spacing w:line="500" w:lineRule="exact"/>
        <w:rPr>
          <w:rStyle w:val="785"/>
          <w:rFonts w:hint="eastAsia" w:ascii="宋体" w:hAnsi="宋体" w:eastAsia="宋体" w:cs="宋体"/>
          <w:b w:val="0"/>
          <w:bCs w:val="0"/>
          <w:color w:val="auto"/>
          <w:sz w:val="24"/>
          <w:szCs w:val="24"/>
          <w:highlight w:val="none"/>
        </w:rPr>
      </w:pPr>
      <w:r>
        <w:rPr>
          <w:rStyle w:val="785"/>
          <w:rFonts w:hint="eastAsia" w:ascii="宋体" w:hAnsi="宋体" w:eastAsia="宋体" w:cs="宋体"/>
          <w:b w:val="0"/>
          <w:bCs w:val="0"/>
          <w:color w:val="auto"/>
          <w:sz w:val="24"/>
          <w:szCs w:val="24"/>
          <w:highlight w:val="none"/>
        </w:rPr>
        <w:t xml:space="preserve">（7）在医保定点医疗机构住院发生的医保政策范围内住院费用（外购药除外），经基本医保、大病保险、医疗救助、低收入农户大病补充保险账户支付等医保实际报销后，剩余个人自付部分（不含丙类费用），按照起付线10000元，补偿比例50%，限额5000元/人/年予以补偿。</w:t>
      </w:r>
      <w:r/>
    </w:p>
    <w:p>
      <w:pPr>
        <w:pStyle w:val="1556"/>
        <w:ind w:firstLine="446"/>
        <w:spacing w:line="500" w:lineRule="exact"/>
        <w:rPr>
          <w:rStyle w:val="785"/>
          <w:rFonts w:hint="eastAsia" w:ascii="宋体" w:hAnsi="宋体" w:eastAsia="宋体" w:cs="宋体"/>
          <w:b w:val="0"/>
          <w:bCs w:val="0"/>
          <w:color w:val="auto"/>
          <w:sz w:val="24"/>
          <w:szCs w:val="24"/>
          <w:highlight w:val="none"/>
        </w:rPr>
      </w:pPr>
      <w:r>
        <w:rPr>
          <w:rStyle w:val="785"/>
          <w:rFonts w:hint="eastAsia" w:ascii="宋体" w:hAnsi="宋体" w:eastAsia="宋体" w:cs="宋体"/>
          <w:b w:val="0"/>
          <w:bCs w:val="0"/>
          <w:color w:val="auto"/>
          <w:sz w:val="24"/>
          <w:szCs w:val="24"/>
          <w:highlight w:val="none"/>
        </w:rPr>
        <w:t xml:space="preserve">①参加社会医疗保险人员的医疗费用先由医保赔偿，剩余部分由本保险承担；</w:t>
      </w:r>
      <w:r/>
    </w:p>
    <w:p>
      <w:pPr>
        <w:pStyle w:val="1556"/>
        <w:ind w:firstLine="446"/>
        <w:spacing w:line="500" w:lineRule="exact"/>
        <w:rPr>
          <w:rStyle w:val="785"/>
          <w:rFonts w:hint="eastAsia" w:ascii="宋体" w:hAnsi="宋体" w:eastAsia="宋体" w:cs="宋体"/>
          <w:b w:val="0"/>
          <w:bCs w:val="0"/>
          <w:color w:val="auto"/>
          <w:sz w:val="24"/>
          <w:szCs w:val="24"/>
          <w:highlight w:val="none"/>
        </w:rPr>
      </w:pPr>
      <w:r>
        <w:rPr>
          <w:rStyle w:val="785"/>
          <w:rFonts w:hint="eastAsia" w:ascii="宋体" w:hAnsi="宋体" w:eastAsia="宋体" w:cs="宋体"/>
          <w:b w:val="0"/>
          <w:bCs w:val="0"/>
          <w:color w:val="auto"/>
          <w:sz w:val="24"/>
          <w:szCs w:val="24"/>
          <w:highlight w:val="none"/>
        </w:rPr>
        <w:t xml:space="preserve">②未参加社会医疗保险人员的医疗费用赔偿，在本项目医疗费用赔偿限额内赔付。 </w:t>
      </w:r>
      <w:r/>
    </w:p>
    <w:p>
      <w:pPr>
        <w:pStyle w:val="1555"/>
        <w:ind w:firstLine="360"/>
        <w:spacing w:line="500" w:lineRule="exact"/>
        <w:rPr>
          <w:rStyle w:val="785"/>
          <w:rFonts w:hint="eastAsia" w:ascii="宋体" w:hAnsi="宋体" w:eastAsia="宋体" w:cs="宋体"/>
          <w:b w:val="0"/>
          <w:bCs w:val="0"/>
          <w:color w:val="auto"/>
          <w:sz w:val="24"/>
          <w:highlight w:val="none"/>
        </w:rPr>
      </w:pPr>
      <w:r/>
      <w:bookmarkStart w:id="100" w:name="_Toc6234"/>
      <w:r/>
      <w:bookmarkStart w:id="101" w:name="_Toc24896"/>
      <w:r/>
      <w:bookmarkStart w:id="102" w:name="_Toc6024"/>
      <w:r/>
      <w:bookmarkStart w:id="103" w:name="_Toc9372"/>
      <w:r/>
      <w:bookmarkStart w:id="104" w:name="_Toc30597"/>
      <w:r>
        <w:rPr>
          <w:rStyle w:val="785"/>
          <w:rFonts w:hint="eastAsia" w:ascii="宋体" w:hAnsi="宋体" w:eastAsia="宋体" w:cs="宋体"/>
          <w:b w:val="0"/>
          <w:bCs w:val="0"/>
          <w:color w:val="auto"/>
          <w:sz w:val="24"/>
          <w:highlight w:val="none"/>
        </w:rPr>
        <w:t xml:space="preserve">（二）本项目保费资金来源与保险费交纳</w:t>
      </w:r>
      <w:bookmarkEnd w:id="100"/>
      <w:r/>
      <w:bookmarkEnd w:id="101"/>
      <w:r/>
      <w:bookmarkEnd w:id="102"/>
      <w:r/>
      <w:bookmarkEnd w:id="103"/>
      <w:r/>
      <w:bookmarkEnd w:id="104"/>
      <w:r>
        <w:rPr>
          <w:rStyle w:val="785"/>
          <w:rFonts w:hint="eastAsia" w:ascii="宋体" w:hAnsi="宋体" w:eastAsia="宋体" w:cs="宋体"/>
          <w:b w:val="0"/>
          <w:bCs w:val="0"/>
          <w:color w:val="auto"/>
          <w:sz w:val="24"/>
          <w:highlight w:val="none"/>
        </w:rPr>
        <w:t xml:space="preserve"> </w:t>
      </w:r>
      <w:r/>
    </w:p>
    <w:p>
      <w:pPr>
        <w:pStyle w:val="1556"/>
        <w:ind w:firstLine="446"/>
        <w:spacing w:line="500" w:lineRule="exact"/>
        <w:rPr>
          <w:rStyle w:val="785"/>
          <w:rFonts w:hint="eastAsia" w:ascii="宋体" w:hAnsi="宋体" w:eastAsia="宋体" w:cs="宋体"/>
          <w:b w:val="0"/>
          <w:bCs w:val="0"/>
          <w:color w:val="auto"/>
          <w:sz w:val="24"/>
          <w:szCs w:val="24"/>
          <w:highlight w:val="none"/>
        </w:rPr>
      </w:pPr>
      <w:r/>
      <w:bookmarkStart w:id="105" w:name="_Toc256000015"/>
      <w:r/>
      <w:bookmarkStart w:id="106" w:name="_Toc2458"/>
      <w:r/>
      <w:bookmarkStart w:id="107" w:name="_Toc20684"/>
      <w:r>
        <w:rPr>
          <w:rStyle w:val="785"/>
          <w:rFonts w:hint="eastAsia" w:ascii="宋体" w:hAnsi="宋体" w:eastAsia="宋体" w:cs="宋体"/>
          <w:b w:val="0"/>
          <w:bCs w:val="0"/>
          <w:color w:val="auto"/>
          <w:sz w:val="24"/>
          <w:szCs w:val="24"/>
          <w:highlight w:val="none"/>
        </w:rPr>
        <w:t xml:space="preserve">本项目资金由</w:t>
      </w:r>
      <w:r>
        <w:rPr>
          <w:rStyle w:val="785"/>
          <w:rFonts w:hint="eastAsia" w:ascii="宋体" w:hAnsi="宋体" w:eastAsia="宋体" w:cs="宋体"/>
          <w:b w:val="0"/>
          <w:bCs w:val="0"/>
          <w:color w:val="auto"/>
          <w:sz w:val="24"/>
          <w:szCs w:val="24"/>
          <w:highlight w:val="none"/>
          <w:lang w:eastAsia="zh-CN"/>
        </w:rPr>
        <w:t xml:space="preserve">泗洪县</w:t>
      </w:r>
      <w:r>
        <w:rPr>
          <w:rStyle w:val="785"/>
          <w:rFonts w:hint="eastAsia" w:ascii="宋体" w:hAnsi="宋体" w:eastAsia="宋体" w:cs="宋体"/>
          <w:b w:val="0"/>
          <w:bCs w:val="0"/>
          <w:color w:val="auto"/>
          <w:sz w:val="24"/>
          <w:szCs w:val="24"/>
          <w:highlight w:val="none"/>
        </w:rPr>
        <w:t xml:space="preserve">残疾人联合会支付。</w:t>
      </w:r>
      <w:bookmarkEnd w:id="105"/>
      <w:r/>
      <w:bookmarkEnd w:id="106"/>
      <w:r/>
      <w:r/>
    </w:p>
    <w:p>
      <w:pPr>
        <w:pStyle w:val="1555"/>
        <w:ind w:firstLine="360"/>
        <w:spacing w:line="500" w:lineRule="exact"/>
        <w:rPr>
          <w:rStyle w:val="785"/>
          <w:rFonts w:hint="eastAsia" w:ascii="宋体" w:hAnsi="宋体" w:eastAsia="宋体" w:cs="宋体"/>
          <w:b w:val="0"/>
          <w:bCs w:val="0"/>
          <w:color w:val="auto"/>
          <w:sz w:val="24"/>
          <w:highlight w:val="none"/>
        </w:rPr>
      </w:pPr>
      <w:r/>
      <w:bookmarkStart w:id="108" w:name="_Toc26869"/>
      <w:r/>
      <w:bookmarkStart w:id="109" w:name="_Toc2997"/>
      <w:r/>
      <w:bookmarkStart w:id="110" w:name="_Toc24879"/>
      <w:r/>
      <w:bookmarkStart w:id="111" w:name="_Toc28157"/>
      <w:r/>
      <w:bookmarkStart w:id="112" w:name="_Toc13123"/>
      <w:r>
        <w:rPr>
          <w:rStyle w:val="785"/>
          <w:rFonts w:hint="eastAsia" w:ascii="宋体" w:hAnsi="宋体" w:eastAsia="宋体" w:cs="宋体"/>
          <w:b w:val="0"/>
          <w:bCs w:val="0"/>
          <w:color w:val="auto"/>
          <w:sz w:val="24"/>
          <w:highlight w:val="none"/>
        </w:rPr>
        <w:t xml:space="preserve">（三）保险期间</w:t>
      </w:r>
      <w:bookmarkEnd w:id="107"/>
      <w:r/>
      <w:bookmarkEnd w:id="108"/>
      <w:r/>
      <w:bookmarkEnd w:id="109"/>
      <w:r/>
      <w:bookmarkEnd w:id="110"/>
      <w:r/>
      <w:bookmarkEnd w:id="111"/>
      <w:r/>
      <w:bookmarkEnd w:id="112"/>
      <w:r/>
      <w:r/>
    </w:p>
    <w:p>
      <w:pPr>
        <w:pStyle w:val="1555"/>
        <w:ind w:firstLine="360"/>
        <w:spacing w:line="500" w:lineRule="exact"/>
        <w:rPr>
          <w:rStyle w:val="785"/>
          <w:rFonts w:hint="eastAsia" w:ascii="宋体" w:hAnsi="宋体" w:eastAsia="宋体" w:cs="宋体"/>
          <w:b w:val="0"/>
          <w:bCs w:val="0"/>
          <w:color w:val="auto"/>
          <w:sz w:val="24"/>
          <w:highlight w:val="none"/>
        </w:rPr>
      </w:pPr>
      <w:r>
        <w:rPr>
          <w:rStyle w:val="785"/>
          <w:rFonts w:hint="eastAsia" w:ascii="宋体" w:hAnsi="宋体" w:eastAsia="宋体" w:cs="宋体"/>
          <w:b w:val="0"/>
          <w:bCs w:val="0"/>
          <w:color w:val="auto"/>
          <w:sz w:val="24"/>
          <w:highlight w:val="none"/>
        </w:rPr>
        <w:t xml:space="preserve">1. 本项目中标合同期为两年，自</w:t>
      </w:r>
      <w:r>
        <w:rPr>
          <w:rStyle w:val="785"/>
          <w:rFonts w:hint="eastAsia" w:ascii="宋体" w:hAnsi="宋体" w:eastAsia="宋体" w:cs="宋体"/>
          <w:b w:val="0"/>
          <w:bCs w:val="0"/>
          <w:color w:val="auto"/>
          <w:sz w:val="24"/>
          <w:highlight w:val="none"/>
          <w:lang w:eastAsia="zh-CN"/>
        </w:rPr>
        <w:t xml:space="preserve">202</w:t>
      </w:r>
      <w:r>
        <w:rPr>
          <w:rStyle w:val="785"/>
          <w:rFonts w:hint="eastAsia" w:ascii="宋体" w:hAnsi="宋体" w:eastAsia="宋体" w:cs="宋体"/>
          <w:b w:val="0"/>
          <w:bCs w:val="0"/>
          <w:color w:val="auto"/>
          <w:sz w:val="24"/>
          <w:highlight w:val="none"/>
          <w:lang w:val="en-US" w:eastAsia="zh-CN"/>
        </w:rPr>
        <w:t xml:space="preserve">6</w:t>
      </w:r>
      <w:r>
        <w:rPr>
          <w:rStyle w:val="785"/>
          <w:rFonts w:hint="eastAsia" w:ascii="宋体" w:hAnsi="宋体" w:eastAsia="宋体" w:cs="宋体"/>
          <w:b w:val="0"/>
          <w:bCs w:val="0"/>
          <w:color w:val="auto"/>
          <w:sz w:val="24"/>
          <w:highlight w:val="none"/>
          <w:lang w:eastAsia="zh-CN"/>
        </w:rPr>
        <w:t xml:space="preserve">年01月01日起至202</w:t>
      </w:r>
      <w:r>
        <w:rPr>
          <w:rStyle w:val="785"/>
          <w:rFonts w:hint="eastAsia" w:ascii="宋体" w:hAnsi="宋体" w:eastAsia="宋体" w:cs="宋体"/>
          <w:b w:val="0"/>
          <w:bCs w:val="0"/>
          <w:color w:val="auto"/>
          <w:sz w:val="24"/>
          <w:highlight w:val="none"/>
          <w:lang w:val="en-US" w:eastAsia="zh-CN"/>
        </w:rPr>
        <w:t xml:space="preserve">7</w:t>
      </w:r>
      <w:r>
        <w:rPr>
          <w:rStyle w:val="785"/>
          <w:rFonts w:hint="eastAsia" w:ascii="宋体" w:hAnsi="宋体" w:eastAsia="宋体" w:cs="宋体"/>
          <w:b w:val="0"/>
          <w:bCs w:val="0"/>
          <w:color w:val="auto"/>
          <w:sz w:val="24"/>
          <w:highlight w:val="none"/>
          <w:lang w:eastAsia="zh-CN"/>
        </w:rPr>
        <w:t xml:space="preserve">年12月31日</w:t>
      </w:r>
      <w:r>
        <w:rPr>
          <w:rStyle w:val="785"/>
          <w:rFonts w:hint="eastAsia" w:ascii="宋体" w:hAnsi="宋体" w:eastAsia="宋体" w:cs="宋体"/>
          <w:b w:val="0"/>
          <w:bCs w:val="0"/>
          <w:color w:val="auto"/>
          <w:sz w:val="24"/>
          <w:highlight w:val="none"/>
        </w:rPr>
        <w:t xml:space="preserve">止。</w:t>
      </w:r>
      <w:r/>
    </w:p>
    <w:p>
      <w:pPr>
        <w:pStyle w:val="1555"/>
        <w:ind w:firstLine="360"/>
        <w:spacing w:line="500" w:lineRule="exact"/>
        <w:rPr>
          <w:rStyle w:val="785"/>
          <w:rFonts w:hint="eastAsia" w:ascii="宋体" w:hAnsi="宋体" w:eastAsia="宋体" w:cs="宋体"/>
          <w:b w:val="0"/>
          <w:bCs w:val="0"/>
          <w:color w:val="auto"/>
          <w:sz w:val="24"/>
          <w:highlight w:val="none"/>
        </w:rPr>
      </w:pPr>
      <w:r>
        <w:rPr>
          <w:rStyle w:val="785"/>
          <w:rFonts w:hint="eastAsia" w:ascii="宋体" w:hAnsi="宋体" w:eastAsia="宋体" w:cs="宋体"/>
          <w:b w:val="0"/>
          <w:bCs w:val="0"/>
          <w:color w:val="auto"/>
          <w:sz w:val="24"/>
          <w:highlight w:val="none"/>
        </w:rPr>
        <w:t xml:space="preserve">2. 本项目保险期限以保险单载明的起讫时间为准。保险合同载明的追溯期为2年，即本项目保险保障截止日期为202</w:t>
      </w:r>
      <w:r>
        <w:rPr>
          <w:rStyle w:val="785"/>
          <w:rFonts w:hint="eastAsia" w:ascii="宋体" w:hAnsi="宋体" w:eastAsia="宋体" w:cs="宋体"/>
          <w:b w:val="0"/>
          <w:bCs w:val="0"/>
          <w:color w:val="auto"/>
          <w:sz w:val="24"/>
          <w:highlight w:val="none"/>
          <w:lang w:val="en-US" w:eastAsia="zh-CN"/>
        </w:rPr>
        <w:t xml:space="preserve">9</w:t>
      </w:r>
      <w:r>
        <w:rPr>
          <w:rStyle w:val="785"/>
          <w:rFonts w:hint="eastAsia" w:ascii="宋体" w:hAnsi="宋体" w:eastAsia="宋体" w:cs="宋体"/>
          <w:b w:val="0"/>
          <w:bCs w:val="0"/>
          <w:color w:val="auto"/>
          <w:sz w:val="24"/>
          <w:highlight w:val="none"/>
        </w:rPr>
        <w:t xml:space="preserve">年12月31日。</w:t>
      </w:r>
      <w:r/>
    </w:p>
    <w:p>
      <w:pPr>
        <w:pStyle w:val="1555"/>
        <w:ind w:firstLine="360"/>
        <w:spacing w:line="500" w:lineRule="exact"/>
        <w:rPr>
          <w:rStyle w:val="785"/>
          <w:rFonts w:hint="eastAsia" w:ascii="宋体" w:hAnsi="宋体" w:eastAsia="宋体" w:cs="宋体"/>
          <w:b w:val="0"/>
          <w:bCs w:val="0"/>
          <w:color w:val="auto"/>
          <w:sz w:val="24"/>
          <w:highlight w:val="none"/>
        </w:rPr>
      </w:pPr>
      <w:r>
        <w:rPr>
          <w:rStyle w:val="785"/>
          <w:rFonts w:hint="eastAsia" w:ascii="宋体" w:hAnsi="宋体" w:eastAsia="宋体" w:cs="宋体"/>
          <w:b w:val="0"/>
          <w:bCs w:val="0"/>
          <w:color w:val="auto"/>
          <w:sz w:val="24"/>
          <w:highlight w:val="none"/>
        </w:rPr>
        <w:t xml:space="preserve">（四）</w:t>
      </w:r>
      <w:bookmarkStart w:id="113" w:name="_Toc13074"/>
      <w:r/>
      <w:bookmarkStart w:id="114" w:name="_Toc23588"/>
      <w:r>
        <w:rPr>
          <w:rStyle w:val="785"/>
          <w:rFonts w:hint="eastAsia" w:ascii="宋体" w:hAnsi="宋体" w:eastAsia="宋体" w:cs="宋体"/>
          <w:b w:val="0"/>
          <w:bCs w:val="0"/>
          <w:color w:val="auto"/>
          <w:sz w:val="24"/>
          <w:highlight w:val="none"/>
        </w:rPr>
        <w:t xml:space="preserve">保险条款说明</w:t>
      </w:r>
      <w:bookmarkEnd w:id="113"/>
      <w:r/>
      <w:bookmarkEnd w:id="114"/>
      <w:r/>
      <w:r/>
    </w:p>
    <w:p>
      <w:pPr>
        <w:pStyle w:val="1555"/>
        <w:ind w:firstLine="360"/>
        <w:spacing w:line="500" w:lineRule="exact"/>
        <w:rPr>
          <w:rStyle w:val="785"/>
          <w:rFonts w:hint="eastAsia" w:ascii="宋体" w:hAnsi="宋体" w:eastAsia="宋体" w:cs="宋体"/>
          <w:b w:val="0"/>
          <w:bCs w:val="0"/>
          <w:color w:val="auto"/>
          <w:sz w:val="24"/>
          <w:highlight w:val="none"/>
        </w:rPr>
      </w:pPr>
      <w:r/>
      <w:bookmarkStart w:id="115" w:name="_Toc12885"/>
      <w:r/>
      <w:bookmarkStart w:id="116" w:name="_Toc22041"/>
      <w:r>
        <w:rPr>
          <w:rStyle w:val="785"/>
          <w:rFonts w:hint="eastAsia" w:ascii="宋体" w:hAnsi="宋体" w:cs="宋体"/>
          <w:b w:val="0"/>
          <w:bCs w:val="0"/>
          <w:color w:val="auto"/>
          <w:sz w:val="24"/>
          <w:highlight w:val="none"/>
          <w:lang w:eastAsia="zh-CN"/>
        </w:rPr>
        <w:t xml:space="preserve">供应商</w:t>
      </w:r>
      <w:r>
        <w:rPr>
          <w:rStyle w:val="785"/>
          <w:rFonts w:hint="eastAsia" w:ascii="宋体" w:hAnsi="宋体" w:eastAsia="宋体" w:cs="宋体"/>
          <w:b w:val="0"/>
          <w:bCs w:val="0"/>
          <w:color w:val="auto"/>
          <w:sz w:val="24"/>
          <w:highlight w:val="none"/>
        </w:rPr>
        <w:t xml:space="preserve">应提供保险条款作为合同组成部分。</w:t>
      </w:r>
      <w:r/>
    </w:p>
    <w:p>
      <w:pPr>
        <w:pStyle w:val="1555"/>
        <w:ind w:firstLine="360"/>
        <w:spacing w:line="500" w:lineRule="exact"/>
        <w:rPr>
          <w:rStyle w:val="785"/>
          <w:rFonts w:hint="eastAsia" w:ascii="宋体" w:hAnsi="宋体" w:eastAsia="宋体" w:cs="宋体"/>
          <w:b w:val="0"/>
          <w:bCs w:val="0"/>
          <w:color w:val="auto"/>
          <w:sz w:val="24"/>
          <w:highlight w:val="none"/>
        </w:rPr>
      </w:pPr>
      <w:r>
        <w:rPr>
          <w:rStyle w:val="785"/>
          <w:rFonts w:hint="eastAsia" w:ascii="宋体" w:hAnsi="宋体" w:eastAsia="宋体" w:cs="宋体"/>
          <w:b w:val="0"/>
          <w:bCs w:val="0"/>
          <w:color w:val="auto"/>
          <w:sz w:val="24"/>
          <w:highlight w:val="none"/>
        </w:rPr>
        <w:t xml:space="preserve">（五）其他说明</w:t>
      </w:r>
      <w:bookmarkEnd w:id="115"/>
      <w:r/>
      <w:r/>
    </w:p>
    <w:p>
      <w:pPr>
        <w:pStyle w:val="1555"/>
        <w:ind w:firstLine="360"/>
        <w:spacing w:line="500" w:lineRule="exact"/>
        <w:rPr>
          <w:rStyle w:val="785"/>
          <w:rFonts w:hint="eastAsia" w:ascii="宋体" w:hAnsi="宋体" w:eastAsia="宋体" w:cs="宋体"/>
          <w:b w:val="0"/>
          <w:bCs w:val="0"/>
          <w:color w:val="auto"/>
          <w:sz w:val="24"/>
          <w:highlight w:val="none"/>
          <w:lang w:val="en-US" w:eastAsia="zh-CN"/>
        </w:rPr>
      </w:pPr>
      <w:r/>
      <w:bookmarkStart w:id="117" w:name="EBf3503c00a7ca436e8f62e174022bd2f0"/>
      <w:r>
        <w:rPr>
          <w:rStyle w:val="785"/>
          <w:rFonts w:hint="eastAsia" w:ascii="宋体" w:hAnsi="宋体" w:eastAsia="宋体" w:cs="宋体"/>
          <w:b w:val="0"/>
          <w:bCs w:val="0"/>
          <w:color w:val="auto"/>
          <w:sz w:val="24"/>
          <w:highlight w:val="none"/>
        </w:rPr>
        <w:t xml:space="preserve">1. 关于投保人数。本项目参保残疾人约</w:t>
      </w:r>
      <w:r>
        <w:rPr>
          <w:rStyle w:val="785"/>
          <w:rFonts w:hint="eastAsia" w:ascii="宋体" w:hAnsi="宋体" w:eastAsia="宋体" w:cs="宋体"/>
          <w:b w:val="0"/>
          <w:bCs w:val="0"/>
          <w:color w:val="auto"/>
          <w:sz w:val="24"/>
          <w:highlight w:val="none"/>
          <w:lang w:val="en-US" w:eastAsia="zh-CN"/>
        </w:rPr>
        <w:t xml:space="preserve">3.15万人</w:t>
      </w:r>
      <w:r>
        <w:rPr>
          <w:rStyle w:val="785"/>
          <w:rFonts w:hint="eastAsia" w:ascii="宋体" w:hAnsi="宋体" w:eastAsia="宋体" w:cs="宋体"/>
          <w:b w:val="0"/>
          <w:bCs w:val="0"/>
          <w:color w:val="auto"/>
          <w:sz w:val="24"/>
          <w:highlight w:val="none"/>
        </w:rPr>
        <w:t xml:space="preserve">，</w:t>
      </w:r>
      <w:r>
        <w:rPr>
          <w:rStyle w:val="785"/>
          <w:rFonts w:hint="eastAsia" w:ascii="宋体" w:hAnsi="宋体" w:eastAsia="宋体" w:cs="宋体"/>
          <w:b w:val="0"/>
          <w:bCs w:val="0"/>
          <w:color w:val="auto"/>
          <w:sz w:val="24"/>
          <w:highlight w:val="none"/>
          <w:lang w:eastAsia="zh-CN"/>
        </w:rPr>
        <w:t xml:space="preserve">出单前以泗洪县残联提供的实际名单人数为准，</w:t>
      </w:r>
      <w:r>
        <w:rPr>
          <w:rStyle w:val="785"/>
          <w:rFonts w:hint="eastAsia" w:ascii="宋体" w:hAnsi="宋体" w:eastAsia="宋体" w:cs="宋体"/>
          <w:b w:val="0"/>
          <w:bCs w:val="0"/>
          <w:color w:val="auto"/>
          <w:sz w:val="24"/>
          <w:highlight w:val="none"/>
          <w:lang w:val="en-US" w:eastAsia="zh-CN"/>
        </w:rPr>
        <w:t xml:space="preserve">按实际名单人数出具保险保单，年度保险期间人员超出</w:t>
      </w:r>
      <w:r>
        <w:rPr>
          <w:rStyle w:val="785"/>
          <w:rFonts w:hint="eastAsia" w:ascii="宋体" w:hAnsi="宋体" w:eastAsia="宋体" w:cs="宋体"/>
          <w:b w:val="0"/>
          <w:bCs w:val="0"/>
          <w:color w:val="auto"/>
          <w:sz w:val="24"/>
          <w:highlight w:val="none"/>
          <w:lang w:val="en-US" w:eastAsia="zh-CN"/>
        </w:rPr>
        <w:t xml:space="preserve">承</w:t>
      </w:r>
      <w:r>
        <w:rPr>
          <w:rStyle w:val="785"/>
          <w:rFonts w:hint="eastAsia" w:ascii="宋体" w:hAnsi="宋体" w:cs="宋体"/>
          <w:b w:val="0"/>
          <w:bCs w:val="0"/>
          <w:color w:val="auto"/>
          <w:sz w:val="24"/>
          <w:highlight w:val="none"/>
          <w:lang w:val="en-US" w:eastAsia="zh-CN"/>
        </w:rPr>
        <w:t xml:space="preserve">保</w:t>
      </w:r>
      <w:r>
        <w:rPr>
          <w:rStyle w:val="785"/>
          <w:rFonts w:hint="eastAsia" w:ascii="宋体" w:hAnsi="宋体" w:eastAsia="宋体" w:cs="宋体"/>
          <w:b w:val="0"/>
          <w:bCs w:val="0"/>
          <w:color w:val="auto"/>
          <w:sz w:val="24"/>
          <w:highlight w:val="none"/>
          <w:lang w:val="en-US" w:eastAsia="zh-CN"/>
        </w:rPr>
        <w:t xml:space="preserve">比例：</w:t>
      </w:r>
      <w:r>
        <w:rPr>
          <w:rStyle w:val="785"/>
          <w:rFonts w:hint="eastAsia" w:ascii="宋体" w:hAnsi="宋体" w:cs="宋体"/>
          <w:b w:val="0"/>
          <w:bCs w:val="0"/>
          <w:color w:val="auto"/>
          <w:sz w:val="24"/>
          <w:highlight w:val="none"/>
          <w:lang w:val="en-US" w:eastAsia="zh-CN"/>
        </w:rPr>
        <w:t xml:space="preserve">35</w:t>
      </w:r>
      <w:r>
        <w:rPr>
          <w:rStyle w:val="785"/>
          <w:rFonts w:hint="eastAsia" w:ascii="宋体" w:hAnsi="宋体" w:eastAsia="宋体" w:cs="宋体"/>
          <w:b w:val="0"/>
          <w:bCs w:val="0"/>
          <w:color w:val="auto"/>
          <w:sz w:val="24"/>
          <w:highlight w:val="none"/>
          <w:lang w:val="en-US" w:eastAsia="zh-CN"/>
        </w:rPr>
        <w:t xml:space="preserve">％、</w:t>
      </w:r>
      <w:r>
        <w:rPr>
          <w:rStyle w:val="785"/>
          <w:rFonts w:hint="eastAsia" w:ascii="宋体" w:hAnsi="宋体" w:cs="宋体"/>
          <w:b w:val="0"/>
          <w:bCs w:val="0"/>
          <w:color w:val="auto"/>
          <w:sz w:val="24"/>
          <w:highlight w:val="none"/>
          <w:lang w:val="en-US" w:eastAsia="zh-CN"/>
        </w:rPr>
        <w:t xml:space="preserve">35</w:t>
      </w:r>
      <w:r>
        <w:rPr>
          <w:rStyle w:val="785"/>
          <w:rFonts w:hint="eastAsia" w:ascii="宋体" w:hAnsi="宋体" w:eastAsia="宋体" w:cs="宋体"/>
          <w:b w:val="0"/>
          <w:bCs w:val="0"/>
          <w:color w:val="auto"/>
          <w:sz w:val="24"/>
          <w:highlight w:val="none"/>
          <w:lang w:val="en-US" w:eastAsia="zh-CN"/>
        </w:rPr>
        <w:t xml:space="preserve">％、30％时，由采购人协调中标单位跨区域出单。</w:t>
      </w:r>
      <w:r/>
    </w:p>
    <w:p>
      <w:pPr>
        <w:pStyle w:val="1555"/>
        <w:ind w:firstLine="360"/>
        <w:spacing w:line="500" w:lineRule="exact"/>
        <w:rPr>
          <w:rStyle w:val="785"/>
          <w:rFonts w:hint="eastAsia" w:ascii="宋体" w:hAnsi="宋体" w:eastAsia="宋体" w:cs="宋体"/>
          <w:b w:val="0"/>
          <w:bCs w:val="0"/>
          <w:color w:val="auto"/>
          <w:sz w:val="24"/>
          <w:highlight w:val="none"/>
        </w:rPr>
      </w:pPr>
      <w:r>
        <w:rPr>
          <w:rStyle w:val="785"/>
          <w:rFonts w:hint="eastAsia" w:ascii="宋体" w:hAnsi="宋体" w:eastAsia="宋体" w:cs="宋体"/>
          <w:b w:val="0"/>
          <w:bCs w:val="0"/>
          <w:color w:val="auto"/>
          <w:sz w:val="24"/>
          <w:highlight w:val="none"/>
        </w:rPr>
        <w:t xml:space="preserve">2. 关于保险费及调整。</w:t>
      </w:r>
      <w:r/>
    </w:p>
    <w:p>
      <w:pPr>
        <w:pStyle w:val="1555"/>
        <w:ind w:firstLine="360"/>
        <w:spacing w:line="500" w:lineRule="exact"/>
        <w:rPr>
          <w:rStyle w:val="785"/>
          <w:rFonts w:hint="eastAsia" w:ascii="宋体" w:hAnsi="宋体" w:eastAsia="宋体" w:cs="宋体"/>
          <w:b w:val="0"/>
          <w:bCs w:val="0"/>
          <w:color w:val="auto"/>
          <w:sz w:val="24"/>
          <w:highlight w:val="none"/>
        </w:rPr>
      </w:pPr>
      <w:r>
        <w:rPr>
          <w:rStyle w:val="785"/>
          <w:rFonts w:hint="eastAsia" w:ascii="宋体" w:hAnsi="宋体" w:eastAsia="宋体" w:cs="宋体"/>
          <w:b w:val="0"/>
          <w:bCs w:val="0"/>
          <w:color w:val="auto"/>
          <w:sz w:val="24"/>
          <w:highlight w:val="none"/>
        </w:rPr>
        <w:t xml:space="preserve">每人每年保费40元，投保时以实际名单人数出具保险单，保险期间承保人对人数增减及时出具</w:t>
      </w:r>
      <w:r>
        <w:rPr>
          <w:rStyle w:val="785"/>
          <w:rFonts w:hint="eastAsia" w:ascii="宋体" w:hAnsi="宋体" w:cs="宋体"/>
          <w:b w:val="0"/>
          <w:bCs w:val="0"/>
          <w:color w:val="auto"/>
          <w:sz w:val="24"/>
          <w:highlight w:val="none"/>
          <w:lang w:val="en-US" w:eastAsia="zh-CN"/>
        </w:rPr>
        <w:t xml:space="preserve">批单</w:t>
      </w:r>
      <w:r>
        <w:rPr>
          <w:rStyle w:val="785"/>
          <w:rFonts w:hint="eastAsia" w:ascii="宋体" w:hAnsi="宋体" w:eastAsia="宋体" w:cs="宋体"/>
          <w:b w:val="0"/>
          <w:bCs w:val="0"/>
          <w:color w:val="auto"/>
          <w:sz w:val="24"/>
          <w:highlight w:val="none"/>
        </w:rPr>
        <w:t xml:space="preserve">。</w:t>
      </w:r>
      <w:r>
        <w:rPr>
          <w:rStyle w:val="785"/>
          <w:rFonts w:hint="eastAsia" w:ascii="宋体" w:hAnsi="宋体" w:eastAsia="宋体" w:cs="宋体"/>
          <w:b w:val="0"/>
          <w:bCs w:val="0"/>
          <w:color w:val="auto"/>
          <w:sz w:val="24"/>
          <w:highlight w:val="none"/>
          <w:lang w:val="en-US" w:eastAsia="zh-CN"/>
        </w:rPr>
        <w:t xml:space="preserve">每个保险</w:t>
      </w:r>
      <w:r>
        <w:rPr>
          <w:rStyle w:val="785"/>
          <w:rFonts w:hint="eastAsia" w:ascii="宋体" w:hAnsi="宋体" w:eastAsia="宋体" w:cs="宋体"/>
          <w:b w:val="0"/>
          <w:bCs w:val="0"/>
          <w:color w:val="auto"/>
          <w:sz w:val="24"/>
          <w:highlight w:val="none"/>
        </w:rPr>
        <w:t xml:space="preserve">年</w:t>
      </w:r>
      <w:r>
        <w:rPr>
          <w:rStyle w:val="785"/>
          <w:rFonts w:hint="eastAsia" w:ascii="宋体" w:hAnsi="宋体" w:eastAsia="宋体" w:cs="宋体"/>
          <w:b w:val="0"/>
          <w:bCs w:val="0"/>
          <w:color w:val="auto"/>
          <w:sz w:val="24"/>
          <w:highlight w:val="none"/>
          <w:lang w:val="en-US" w:eastAsia="zh-CN"/>
        </w:rPr>
        <w:t xml:space="preserve">度</w:t>
      </w:r>
      <w:r>
        <w:rPr>
          <w:rStyle w:val="785"/>
          <w:rFonts w:hint="eastAsia" w:ascii="宋体" w:hAnsi="宋体" w:eastAsia="宋体" w:cs="宋体"/>
          <w:b w:val="0"/>
          <w:bCs w:val="0"/>
          <w:color w:val="auto"/>
          <w:sz w:val="24"/>
          <w:highlight w:val="none"/>
        </w:rPr>
        <w:t xml:space="preserve">内新增办理残疾人证人员直接参保，新增人数不超过年初投保时总数10%的，免缴保费，超过部分的保费调增统计于每年保单到期前分批次或到期后30日内报县残联批准申请支付。</w:t>
      </w:r>
      <w:r/>
    </w:p>
    <w:p>
      <w:pPr>
        <w:pStyle w:val="1555"/>
        <w:ind w:firstLine="360"/>
        <w:spacing w:line="500" w:lineRule="exact"/>
        <w:rPr>
          <w:rStyle w:val="785"/>
          <w:rFonts w:hint="eastAsia" w:ascii="宋体" w:hAnsi="宋体" w:eastAsia="宋体" w:cs="宋体"/>
          <w:b w:val="0"/>
          <w:bCs w:val="0"/>
          <w:color w:val="auto"/>
          <w:sz w:val="24"/>
          <w:highlight w:val="none"/>
        </w:rPr>
      </w:pPr>
      <w:r>
        <w:rPr>
          <w:rStyle w:val="785"/>
          <w:rFonts w:hint="eastAsia" w:ascii="宋体" w:hAnsi="宋体" w:eastAsia="宋体" w:cs="宋体"/>
          <w:b w:val="0"/>
          <w:bCs w:val="0"/>
          <w:color w:val="auto"/>
          <w:sz w:val="24"/>
          <w:highlight w:val="none"/>
          <w:lang w:val="en-US" w:eastAsia="zh-CN"/>
        </w:rPr>
        <w:t xml:space="preserve">每个保险</w:t>
      </w:r>
      <w:r>
        <w:rPr>
          <w:rStyle w:val="785"/>
          <w:rFonts w:hint="eastAsia" w:ascii="宋体" w:hAnsi="宋体" w:eastAsia="宋体" w:cs="宋体"/>
          <w:b w:val="0"/>
          <w:bCs w:val="0"/>
          <w:color w:val="auto"/>
          <w:sz w:val="24"/>
          <w:highlight w:val="none"/>
        </w:rPr>
        <w:t xml:space="preserve">年</w:t>
      </w:r>
      <w:r>
        <w:rPr>
          <w:rStyle w:val="785"/>
          <w:rFonts w:hint="eastAsia" w:ascii="宋体" w:hAnsi="宋体" w:eastAsia="宋体" w:cs="宋体"/>
          <w:b w:val="0"/>
          <w:bCs w:val="0"/>
          <w:color w:val="auto"/>
          <w:sz w:val="24"/>
          <w:highlight w:val="none"/>
          <w:lang w:val="en-US" w:eastAsia="zh-CN"/>
        </w:rPr>
        <w:t xml:space="preserve">度</w:t>
      </w:r>
      <w:r>
        <w:rPr>
          <w:rStyle w:val="785"/>
          <w:rFonts w:hint="eastAsia" w:ascii="宋体" w:hAnsi="宋体" w:eastAsia="宋体" w:cs="宋体"/>
          <w:b w:val="0"/>
          <w:bCs w:val="0"/>
          <w:color w:val="auto"/>
          <w:sz w:val="24"/>
          <w:highlight w:val="none"/>
        </w:rPr>
        <w:t xml:space="preserve">内新增办证被保险人批单收费计算公式：40元/12月×实际参保月数。</w:t>
      </w:r>
      <w:r/>
    </w:p>
    <w:p>
      <w:pPr>
        <w:pStyle w:val="1555"/>
        <w:ind w:firstLine="360"/>
        <w:spacing w:line="500" w:lineRule="exact"/>
        <w:rPr>
          <w:rStyle w:val="785"/>
          <w:rFonts w:hint="eastAsia" w:ascii="宋体" w:hAnsi="宋体" w:eastAsia="宋体" w:cs="宋体"/>
          <w:b w:val="0"/>
          <w:bCs w:val="0"/>
          <w:color w:val="auto"/>
          <w:sz w:val="24"/>
          <w:highlight w:val="none"/>
        </w:rPr>
      </w:pPr>
      <w:r>
        <w:rPr>
          <w:rStyle w:val="785"/>
          <w:rFonts w:hint="eastAsia" w:ascii="宋体" w:hAnsi="宋体" w:eastAsia="宋体" w:cs="宋体"/>
          <w:b w:val="0"/>
          <w:bCs w:val="0"/>
          <w:color w:val="auto"/>
          <w:sz w:val="24"/>
          <w:highlight w:val="none"/>
        </w:rPr>
        <w:t xml:space="preserve">3. 关于死亡、伤残、医疗费用等原始凭证复印件的认可。</w:t>
      </w:r>
      <w:r/>
    </w:p>
    <w:p>
      <w:pPr>
        <w:pStyle w:val="1555"/>
        <w:ind w:firstLine="360"/>
        <w:spacing w:line="500" w:lineRule="exact"/>
        <w:rPr>
          <w:rStyle w:val="785"/>
          <w:rFonts w:hint="eastAsia" w:ascii="宋体" w:hAnsi="宋体" w:eastAsia="宋体" w:cs="宋体"/>
          <w:b w:val="0"/>
          <w:bCs w:val="0"/>
          <w:color w:val="auto"/>
          <w:sz w:val="24"/>
          <w:highlight w:val="none"/>
        </w:rPr>
      </w:pPr>
      <w:r>
        <w:rPr>
          <w:rStyle w:val="785"/>
          <w:rFonts w:hint="eastAsia" w:ascii="宋体" w:hAnsi="宋体" w:eastAsia="宋体" w:cs="宋体"/>
          <w:b w:val="0"/>
          <w:bCs w:val="0"/>
          <w:color w:val="auto"/>
          <w:sz w:val="24"/>
          <w:highlight w:val="none"/>
        </w:rPr>
        <w:t xml:space="preserve">保险人同意：死亡、伤残、医疗费用等原始凭证在社会医疗保险机构处理赔偿时已经留档不能分割的，该原始凭证复印件可用于本项目理赔时作为依据凭证。</w:t>
      </w:r>
      <w:r/>
    </w:p>
    <w:p>
      <w:pPr>
        <w:pStyle w:val="1555"/>
        <w:ind w:firstLine="360"/>
        <w:spacing w:line="500" w:lineRule="exact"/>
        <w:rPr>
          <w:rStyle w:val="785"/>
          <w:rFonts w:hint="eastAsia" w:ascii="宋体" w:hAnsi="宋体" w:eastAsia="宋体" w:cs="宋体"/>
          <w:b w:val="0"/>
          <w:bCs w:val="0"/>
          <w:color w:val="auto"/>
          <w:sz w:val="24"/>
          <w:highlight w:val="none"/>
        </w:rPr>
      </w:pPr>
      <w:r>
        <w:rPr>
          <w:rStyle w:val="785"/>
          <w:rFonts w:hint="eastAsia" w:ascii="宋体" w:hAnsi="宋体" w:cs="宋体"/>
          <w:b w:val="0"/>
          <w:bCs w:val="0"/>
          <w:color w:val="auto"/>
          <w:sz w:val="24"/>
          <w:highlight w:val="none"/>
          <w:lang w:val="en-US" w:eastAsia="zh-CN"/>
        </w:rPr>
        <w:t xml:space="preserve">4</w:t>
      </w:r>
      <w:r>
        <w:rPr>
          <w:rStyle w:val="785"/>
          <w:rFonts w:hint="eastAsia" w:ascii="宋体" w:hAnsi="宋体" w:eastAsia="宋体" w:cs="宋体"/>
          <w:b w:val="0"/>
          <w:bCs w:val="0"/>
          <w:color w:val="auto"/>
          <w:sz w:val="24"/>
          <w:highlight w:val="none"/>
        </w:rPr>
        <w:t xml:space="preserve">. 项目资金使用单向调节机制。</w:t>
      </w:r>
      <w:r/>
    </w:p>
    <w:p>
      <w:pPr>
        <w:pStyle w:val="1555"/>
        <w:ind w:firstLine="360"/>
        <w:spacing w:line="500" w:lineRule="exact"/>
        <w:rPr>
          <w:rStyle w:val="785"/>
          <w:rFonts w:hint="eastAsia" w:ascii="宋体" w:hAnsi="宋体" w:eastAsia="宋体" w:cs="宋体"/>
          <w:b w:val="0"/>
          <w:bCs w:val="0"/>
          <w:color w:val="auto"/>
          <w:sz w:val="24"/>
          <w:highlight w:val="none"/>
        </w:rPr>
      </w:pPr>
      <w:r>
        <w:rPr>
          <w:rStyle w:val="785"/>
          <w:rFonts w:hint="eastAsia" w:ascii="宋体" w:hAnsi="宋体" w:eastAsia="宋体" w:cs="宋体"/>
          <w:b w:val="0"/>
          <w:bCs w:val="0"/>
          <w:color w:val="auto"/>
          <w:sz w:val="24"/>
          <w:highlight w:val="none"/>
        </w:rPr>
        <w:t xml:space="preserve">本项目要求赔付率控制在保险费的85%左右。若第一个保险期间期满时，赔付率未达到85%，则不足部分作为第二个保险期间保险费的优惠额度；第二个保险期间期满时，该保险期间赔付率未达到 85%，则保险人应根据政府需求承担相应不足部分费用的扶残助残项目给付责任。赔付率指简单赔付率（计算公式：当年度已决赔款/当年度保险费）。</w:t>
      </w:r>
      <w:r/>
    </w:p>
    <w:p>
      <w:pPr>
        <w:pStyle w:val="1555"/>
        <w:ind w:firstLine="360"/>
        <w:spacing w:line="500" w:lineRule="exact"/>
        <w:rPr>
          <w:rStyle w:val="785"/>
          <w:rFonts w:hint="eastAsia" w:ascii="宋体" w:hAnsi="宋体" w:eastAsia="宋体" w:cs="宋体"/>
          <w:b w:val="0"/>
          <w:bCs w:val="0"/>
          <w:color w:val="auto"/>
          <w:sz w:val="24"/>
          <w:highlight w:val="none"/>
        </w:rPr>
      </w:pPr>
      <w:r>
        <w:rPr>
          <w:rStyle w:val="785"/>
          <w:rFonts w:hint="eastAsia" w:ascii="宋体" w:hAnsi="宋体" w:cs="宋体"/>
          <w:b w:val="0"/>
          <w:bCs w:val="0"/>
          <w:color w:val="auto"/>
          <w:sz w:val="24"/>
          <w:highlight w:val="none"/>
          <w:lang w:val="en-US" w:eastAsia="zh-CN"/>
        </w:rPr>
        <w:t xml:space="preserve">5</w:t>
      </w:r>
      <w:r>
        <w:rPr>
          <w:rStyle w:val="785"/>
          <w:rFonts w:hint="eastAsia" w:ascii="宋体" w:hAnsi="宋体" w:eastAsia="宋体" w:cs="宋体"/>
          <w:b w:val="0"/>
          <w:bCs w:val="0"/>
          <w:color w:val="auto"/>
          <w:sz w:val="24"/>
          <w:highlight w:val="none"/>
        </w:rPr>
        <w:t xml:space="preserve">. 赔偿处理</w:t>
      </w:r>
      <w:r/>
    </w:p>
    <w:p>
      <w:pPr>
        <w:pStyle w:val="1555"/>
        <w:ind w:firstLine="360"/>
        <w:spacing w:line="500" w:lineRule="exact"/>
        <w:rPr>
          <w:rStyle w:val="785"/>
          <w:rFonts w:hint="eastAsia" w:ascii="宋体" w:hAnsi="宋体" w:eastAsia="宋体" w:cs="宋体"/>
          <w:b w:val="0"/>
          <w:bCs w:val="0"/>
          <w:color w:val="auto"/>
          <w:sz w:val="24"/>
          <w:highlight w:val="none"/>
        </w:rPr>
      </w:pPr>
      <w:r>
        <w:rPr>
          <w:rStyle w:val="785"/>
          <w:rFonts w:hint="eastAsia" w:ascii="宋体" w:hAnsi="宋体" w:eastAsia="宋体" w:cs="宋体"/>
          <w:b w:val="0"/>
          <w:bCs w:val="0"/>
          <w:color w:val="auto"/>
          <w:sz w:val="24"/>
          <w:highlight w:val="none"/>
        </w:rPr>
        <w:t xml:space="preserve">（1）基本原则：保险人不得以任何理由推卸、拖延和拒绝被保险人索赔要求，除非有合理和足够的证据证明，否则其行为构成违约并承担违约责任；</w:t>
      </w:r>
      <w:r/>
    </w:p>
    <w:p>
      <w:pPr>
        <w:pStyle w:val="1555"/>
        <w:ind w:firstLine="360"/>
        <w:spacing w:line="500" w:lineRule="exact"/>
        <w:rPr>
          <w:rStyle w:val="785"/>
          <w:rFonts w:hint="eastAsia" w:ascii="宋体" w:hAnsi="宋体" w:eastAsia="宋体" w:cs="宋体"/>
          <w:b w:val="0"/>
          <w:bCs w:val="0"/>
          <w:color w:val="auto"/>
          <w:sz w:val="24"/>
          <w:highlight w:val="none"/>
        </w:rPr>
      </w:pPr>
      <w:r>
        <w:rPr>
          <w:rStyle w:val="785"/>
          <w:rFonts w:hint="eastAsia" w:ascii="宋体" w:hAnsi="宋体" w:eastAsia="宋体" w:cs="宋体"/>
          <w:b w:val="0"/>
          <w:bCs w:val="0"/>
          <w:color w:val="auto"/>
          <w:sz w:val="24"/>
          <w:highlight w:val="none"/>
        </w:rPr>
        <w:t xml:space="preserve">（2）保险人接到被保险人报案后，尽早赶赴事故现场开始初步调查并提出止损建议，一次性及时告知被保险人配合提供以下索赔材料：</w:t>
      </w:r>
      <w:r/>
    </w:p>
    <w:p>
      <w:pPr>
        <w:pStyle w:val="1555"/>
        <w:ind w:firstLine="360"/>
        <w:spacing w:line="500" w:lineRule="exact"/>
        <w:rPr>
          <w:rStyle w:val="785"/>
          <w:rFonts w:hint="eastAsia" w:ascii="宋体" w:hAnsi="宋体" w:eastAsia="宋体" w:cs="宋体"/>
          <w:b w:val="0"/>
          <w:bCs w:val="0"/>
          <w:color w:val="auto"/>
          <w:sz w:val="24"/>
          <w:highlight w:val="none"/>
        </w:rPr>
      </w:pPr>
      <w:r>
        <w:rPr>
          <w:rStyle w:val="785"/>
          <w:rFonts w:hint="eastAsia" w:ascii="宋体" w:hAnsi="宋体" w:eastAsia="宋体" w:cs="宋体"/>
          <w:b w:val="0"/>
          <w:bCs w:val="0"/>
          <w:color w:val="auto"/>
          <w:sz w:val="24"/>
          <w:highlight w:val="none"/>
        </w:rPr>
        <w:t xml:space="preserve">A：身份证复印件；</w:t>
      </w:r>
      <w:r/>
    </w:p>
    <w:p>
      <w:pPr>
        <w:pStyle w:val="1555"/>
        <w:ind w:firstLine="360"/>
        <w:spacing w:line="500" w:lineRule="exact"/>
        <w:rPr>
          <w:rStyle w:val="785"/>
          <w:rFonts w:hint="eastAsia" w:ascii="宋体" w:hAnsi="宋体" w:eastAsia="宋体" w:cs="宋体"/>
          <w:b w:val="0"/>
          <w:bCs w:val="0"/>
          <w:color w:val="auto"/>
          <w:sz w:val="24"/>
          <w:highlight w:val="none"/>
        </w:rPr>
      </w:pPr>
      <w:r>
        <w:rPr>
          <w:rStyle w:val="785"/>
          <w:rFonts w:hint="eastAsia" w:ascii="宋体" w:hAnsi="宋体" w:eastAsia="宋体" w:cs="宋体"/>
          <w:b w:val="0"/>
          <w:bCs w:val="0"/>
          <w:color w:val="auto"/>
          <w:sz w:val="24"/>
          <w:highlight w:val="none"/>
        </w:rPr>
        <w:t xml:space="preserve">B：意外伤害医疗：</w:t>
      </w:r>
      <w:r/>
    </w:p>
    <w:p>
      <w:pPr>
        <w:pStyle w:val="1555"/>
        <w:ind w:firstLine="360"/>
        <w:spacing w:line="500" w:lineRule="exact"/>
        <w:rPr>
          <w:rStyle w:val="785"/>
          <w:rFonts w:hint="eastAsia" w:ascii="宋体" w:hAnsi="宋体" w:eastAsia="宋体" w:cs="宋体"/>
          <w:b w:val="0"/>
          <w:bCs w:val="0"/>
          <w:color w:val="auto"/>
          <w:sz w:val="24"/>
          <w:highlight w:val="none"/>
        </w:rPr>
      </w:pPr>
      <w:r>
        <w:rPr>
          <w:rStyle w:val="785"/>
          <w:rFonts w:hint="eastAsia" w:ascii="宋体" w:hAnsi="宋体" w:eastAsia="宋体" w:cs="宋体"/>
          <w:b w:val="0"/>
          <w:bCs w:val="0"/>
          <w:color w:val="auto"/>
          <w:sz w:val="24"/>
          <w:highlight w:val="none"/>
        </w:rPr>
        <w:t xml:space="preserve">住院：就诊病例、发票、出院小结、诊断书、长期或临时医嘱单、其他材料等，</w:t>
      </w:r>
      <w:r/>
    </w:p>
    <w:p>
      <w:pPr>
        <w:pStyle w:val="1555"/>
        <w:ind w:firstLine="360"/>
        <w:spacing w:line="500" w:lineRule="exact"/>
        <w:rPr>
          <w:rStyle w:val="785"/>
          <w:rFonts w:hint="eastAsia" w:ascii="宋体" w:hAnsi="宋体" w:eastAsia="宋体" w:cs="宋体"/>
          <w:b w:val="0"/>
          <w:bCs w:val="0"/>
          <w:color w:val="auto"/>
          <w:sz w:val="24"/>
          <w:highlight w:val="none"/>
        </w:rPr>
      </w:pPr>
      <w:r>
        <w:rPr>
          <w:rStyle w:val="785"/>
          <w:rFonts w:hint="eastAsia" w:ascii="宋体" w:hAnsi="宋体" w:eastAsia="宋体" w:cs="宋体"/>
          <w:b w:val="0"/>
          <w:bCs w:val="0"/>
          <w:color w:val="auto"/>
          <w:sz w:val="24"/>
          <w:highlight w:val="none"/>
        </w:rPr>
        <w:t xml:space="preserve">门诊</w:t>
      </w:r>
      <w:r>
        <w:rPr>
          <w:rStyle w:val="785"/>
          <w:rFonts w:hint="eastAsia" w:ascii="宋体" w:hAnsi="宋体" w:eastAsia="宋体" w:cs="宋体"/>
          <w:b w:val="0"/>
          <w:bCs w:val="0"/>
          <w:color w:val="auto"/>
          <w:sz w:val="24"/>
          <w:highlight w:val="none"/>
          <w:lang w:eastAsia="zh-CN"/>
        </w:rPr>
        <w:t xml:space="preserve">：</w:t>
      </w:r>
      <w:r>
        <w:rPr>
          <w:rStyle w:val="785"/>
          <w:rFonts w:hint="eastAsia" w:ascii="宋体" w:hAnsi="宋体" w:eastAsia="宋体" w:cs="宋体"/>
          <w:b w:val="0"/>
          <w:bCs w:val="0"/>
          <w:color w:val="auto"/>
          <w:sz w:val="24"/>
          <w:highlight w:val="none"/>
        </w:rPr>
        <w:t xml:space="preserve">医疗机构诊断书、门诊病历、门诊费发票；</w:t>
      </w:r>
      <w:r/>
    </w:p>
    <w:p>
      <w:pPr>
        <w:pStyle w:val="1555"/>
        <w:ind w:firstLine="360"/>
        <w:spacing w:line="500" w:lineRule="exact"/>
        <w:rPr>
          <w:rStyle w:val="785"/>
          <w:rFonts w:hint="eastAsia" w:ascii="宋体" w:hAnsi="宋体" w:eastAsia="宋体" w:cs="宋体"/>
          <w:b w:val="0"/>
          <w:bCs w:val="0"/>
          <w:color w:val="auto"/>
          <w:sz w:val="24"/>
          <w:highlight w:val="none"/>
        </w:rPr>
      </w:pPr>
      <w:r>
        <w:rPr>
          <w:rStyle w:val="785"/>
          <w:rFonts w:hint="eastAsia" w:ascii="宋体" w:hAnsi="宋体" w:eastAsia="宋体" w:cs="宋体"/>
          <w:b w:val="0"/>
          <w:bCs w:val="0"/>
          <w:color w:val="auto"/>
          <w:sz w:val="24"/>
          <w:highlight w:val="none"/>
        </w:rPr>
        <w:t xml:space="preserve">C</w:t>
      </w:r>
      <w:r>
        <w:rPr>
          <w:rStyle w:val="785"/>
          <w:rFonts w:hint="eastAsia" w:ascii="宋体" w:hAnsi="宋体" w:eastAsia="宋体" w:cs="宋体"/>
          <w:b w:val="0"/>
          <w:bCs w:val="0"/>
          <w:color w:val="auto"/>
          <w:sz w:val="24"/>
          <w:highlight w:val="none"/>
          <w:lang w:eastAsia="zh-CN"/>
        </w:rPr>
        <w:t xml:space="preserve">：</w:t>
      </w:r>
      <w:r>
        <w:rPr>
          <w:rStyle w:val="785"/>
          <w:rFonts w:hint="eastAsia" w:ascii="宋体" w:hAnsi="宋体" w:eastAsia="宋体" w:cs="宋体"/>
          <w:b w:val="0"/>
          <w:bCs w:val="0"/>
          <w:color w:val="auto"/>
          <w:sz w:val="24"/>
          <w:highlight w:val="none"/>
          <w:lang w:val="en-US" w:eastAsia="zh-CN"/>
        </w:rPr>
        <w:t xml:space="preserve">提供</w:t>
      </w:r>
      <w:r>
        <w:rPr>
          <w:rStyle w:val="785"/>
          <w:rFonts w:hint="eastAsia" w:ascii="宋体" w:hAnsi="宋体" w:eastAsia="宋体" w:cs="宋体"/>
          <w:b w:val="0"/>
          <w:bCs w:val="0"/>
          <w:color w:val="auto"/>
          <w:sz w:val="24"/>
          <w:highlight w:val="none"/>
        </w:rPr>
        <w:t xml:space="preserve">残疾</w:t>
      </w:r>
      <w:r>
        <w:rPr>
          <w:rStyle w:val="785"/>
          <w:rFonts w:hint="eastAsia" w:ascii="宋体" w:hAnsi="宋体" w:eastAsia="宋体" w:cs="宋体"/>
          <w:b w:val="0"/>
          <w:bCs w:val="0"/>
          <w:color w:val="auto"/>
          <w:sz w:val="24"/>
          <w:highlight w:val="none"/>
          <w:lang w:val="en-US" w:eastAsia="zh-CN"/>
        </w:rPr>
        <w:t xml:space="preserve">评残</w:t>
      </w:r>
      <w:r>
        <w:rPr>
          <w:rStyle w:val="785"/>
          <w:rFonts w:hint="eastAsia" w:ascii="宋体" w:hAnsi="宋体" w:eastAsia="宋体" w:cs="宋体"/>
          <w:b w:val="0"/>
          <w:bCs w:val="0"/>
          <w:color w:val="auto"/>
          <w:sz w:val="24"/>
          <w:highlight w:val="none"/>
        </w:rPr>
        <w:t xml:space="preserve">证明</w:t>
      </w:r>
      <w:r>
        <w:rPr>
          <w:rStyle w:val="785"/>
          <w:rFonts w:hint="eastAsia" w:ascii="宋体" w:hAnsi="宋体" w:eastAsia="宋体" w:cs="宋体"/>
          <w:b w:val="0"/>
          <w:bCs w:val="0"/>
          <w:color w:val="auto"/>
          <w:sz w:val="24"/>
          <w:highlight w:val="none"/>
          <w:lang w:val="en-US" w:eastAsia="zh-CN"/>
        </w:rPr>
        <w:t xml:space="preserve">书</w:t>
      </w:r>
      <w:r>
        <w:rPr>
          <w:rStyle w:val="785"/>
          <w:rFonts w:hint="eastAsia" w:ascii="宋体" w:hAnsi="宋体" w:eastAsia="宋体" w:cs="宋体"/>
          <w:b w:val="0"/>
          <w:bCs w:val="0"/>
          <w:color w:val="auto"/>
          <w:sz w:val="24"/>
          <w:highlight w:val="none"/>
        </w:rPr>
        <w:t xml:space="preserve">（构成残疾的）；</w:t>
      </w:r>
      <w:r/>
    </w:p>
    <w:p>
      <w:pPr>
        <w:pStyle w:val="1555"/>
        <w:ind w:firstLine="360"/>
        <w:spacing w:line="500" w:lineRule="exact"/>
        <w:rPr>
          <w:rStyle w:val="785"/>
          <w:rFonts w:hint="eastAsia" w:ascii="宋体" w:hAnsi="宋体" w:eastAsia="宋体" w:cs="宋体"/>
          <w:b w:val="0"/>
          <w:bCs w:val="0"/>
          <w:color w:val="auto"/>
          <w:sz w:val="24"/>
          <w:highlight w:val="none"/>
        </w:rPr>
      </w:pPr>
      <w:r>
        <w:rPr>
          <w:rStyle w:val="785"/>
          <w:rFonts w:hint="eastAsia" w:ascii="宋体" w:hAnsi="宋体" w:eastAsia="宋体" w:cs="宋体"/>
          <w:b w:val="0"/>
          <w:bCs w:val="0"/>
          <w:color w:val="auto"/>
          <w:sz w:val="24"/>
          <w:highlight w:val="none"/>
        </w:rPr>
        <w:t xml:space="preserve">D：医疗死亡证明、火化证明、户口注销证明（构成死亡的）；</w:t>
      </w:r>
      <w:r/>
    </w:p>
    <w:p>
      <w:pPr>
        <w:pStyle w:val="1555"/>
        <w:ind w:firstLine="360"/>
        <w:spacing w:line="500" w:lineRule="exact"/>
        <w:rPr>
          <w:rStyle w:val="785"/>
          <w:rFonts w:hint="eastAsia" w:ascii="宋体" w:hAnsi="宋体" w:eastAsia="宋体" w:cs="宋体"/>
          <w:b w:val="0"/>
          <w:bCs w:val="0"/>
          <w:color w:val="auto"/>
          <w:sz w:val="24"/>
          <w:highlight w:val="none"/>
        </w:rPr>
      </w:pPr>
      <w:r>
        <w:rPr>
          <w:rStyle w:val="785"/>
          <w:rFonts w:hint="eastAsia" w:ascii="宋体" w:hAnsi="宋体" w:eastAsia="宋体" w:cs="宋体"/>
          <w:b w:val="0"/>
          <w:bCs w:val="0"/>
          <w:color w:val="auto"/>
          <w:sz w:val="24"/>
          <w:highlight w:val="none"/>
        </w:rPr>
        <w:t xml:space="preserve">E：</w:t>
      </w:r>
      <w:r>
        <w:rPr>
          <w:rStyle w:val="785"/>
          <w:rFonts w:hint="eastAsia" w:ascii="宋体" w:hAnsi="宋体" w:eastAsia="宋体" w:cs="宋体"/>
          <w:b w:val="0"/>
          <w:bCs w:val="0"/>
          <w:color w:val="auto"/>
          <w:sz w:val="24"/>
          <w:highlight w:val="none"/>
          <w:lang w:val="en-US" w:eastAsia="zh-CN"/>
        </w:rPr>
        <w:t xml:space="preserve">发生</w:t>
      </w:r>
      <w:r>
        <w:rPr>
          <w:rStyle w:val="785"/>
          <w:rFonts w:hint="eastAsia" w:ascii="宋体" w:hAnsi="宋体" w:eastAsia="宋体" w:cs="宋体"/>
          <w:b w:val="0"/>
          <w:bCs w:val="0"/>
          <w:color w:val="auto"/>
          <w:sz w:val="24"/>
          <w:highlight w:val="none"/>
        </w:rPr>
        <w:t xml:space="preserve">重大疾病</w:t>
      </w:r>
      <w:r>
        <w:rPr>
          <w:rStyle w:val="785"/>
          <w:rFonts w:hint="eastAsia" w:ascii="宋体" w:hAnsi="宋体" w:eastAsia="宋体" w:cs="宋体"/>
          <w:b w:val="0"/>
          <w:bCs w:val="0"/>
          <w:color w:val="auto"/>
          <w:sz w:val="24"/>
          <w:highlight w:val="none"/>
          <w:lang w:val="en-US" w:eastAsia="zh-CN"/>
        </w:rPr>
        <w:t xml:space="preserve">的</w:t>
      </w:r>
      <w:r>
        <w:rPr>
          <w:rStyle w:val="785"/>
          <w:rFonts w:hint="eastAsia" w:ascii="宋体" w:hAnsi="宋体" w:eastAsia="宋体" w:cs="宋体"/>
          <w:b w:val="0"/>
          <w:bCs w:val="0"/>
          <w:color w:val="auto"/>
          <w:sz w:val="24"/>
          <w:highlight w:val="none"/>
        </w:rPr>
        <w:t xml:space="preserve">：提供二级及以上医疗机构首次诊断确诊证明资料；</w:t>
      </w:r>
      <w:r/>
    </w:p>
    <w:p>
      <w:pPr>
        <w:pStyle w:val="1555"/>
        <w:ind w:firstLine="360"/>
        <w:spacing w:line="500" w:lineRule="exact"/>
        <w:rPr>
          <w:rStyle w:val="785"/>
          <w:rFonts w:hint="eastAsia" w:ascii="宋体" w:hAnsi="宋体" w:eastAsia="宋体" w:cs="宋体"/>
          <w:b w:val="0"/>
          <w:bCs w:val="0"/>
          <w:color w:val="auto"/>
          <w:sz w:val="24"/>
          <w:highlight w:val="none"/>
        </w:rPr>
      </w:pPr>
      <w:r>
        <w:rPr>
          <w:rStyle w:val="785"/>
          <w:rFonts w:hint="eastAsia" w:ascii="宋体" w:hAnsi="宋体" w:eastAsia="宋体" w:cs="宋体"/>
          <w:b w:val="0"/>
          <w:bCs w:val="0"/>
          <w:color w:val="auto"/>
          <w:sz w:val="24"/>
          <w:highlight w:val="none"/>
        </w:rPr>
        <w:t xml:space="preserve">F：重大疾病补充医疗：除提供重大疾病资料外，还需提供住院发票、出院小结、诊断书等资料。</w:t>
      </w:r>
      <w:r/>
    </w:p>
    <w:p>
      <w:pPr>
        <w:pStyle w:val="1555"/>
        <w:ind w:firstLine="360"/>
        <w:spacing w:line="500" w:lineRule="exact"/>
        <w:rPr>
          <w:rStyle w:val="785"/>
          <w:rFonts w:hint="eastAsia" w:ascii="宋体" w:hAnsi="宋体" w:eastAsia="宋体" w:cs="宋体"/>
          <w:b w:val="0"/>
          <w:bCs w:val="0"/>
          <w:color w:val="auto"/>
          <w:sz w:val="24"/>
          <w:highlight w:val="none"/>
        </w:rPr>
      </w:pPr>
      <w:r>
        <w:rPr>
          <w:rStyle w:val="785"/>
          <w:rFonts w:hint="eastAsia" w:ascii="宋体" w:hAnsi="宋体" w:eastAsia="宋体" w:cs="宋体"/>
          <w:b w:val="0"/>
          <w:bCs w:val="0"/>
          <w:color w:val="auto"/>
          <w:sz w:val="24"/>
          <w:highlight w:val="none"/>
        </w:rPr>
        <w:t xml:space="preserve">（3）被保险人尽可能为保险人调查和取证工作保留事故现场；对确因运营需要而无法留待保险人查勘的事故现场，被保险人应尽可能留下照片、录像、文字记录供保险人审核之用；</w:t>
      </w:r>
      <w:r/>
    </w:p>
    <w:p>
      <w:pPr>
        <w:pStyle w:val="1555"/>
        <w:ind w:firstLine="360"/>
        <w:spacing w:line="500" w:lineRule="exact"/>
        <w:rPr>
          <w:rStyle w:val="785"/>
          <w:rFonts w:hint="eastAsia" w:ascii="宋体" w:hAnsi="宋体" w:eastAsia="宋体" w:cs="宋体"/>
          <w:b w:val="0"/>
          <w:bCs w:val="0"/>
          <w:color w:val="auto"/>
          <w:sz w:val="24"/>
          <w:highlight w:val="none"/>
        </w:rPr>
      </w:pPr>
      <w:r>
        <w:rPr>
          <w:rStyle w:val="785"/>
          <w:rFonts w:hint="eastAsia" w:ascii="宋体" w:hAnsi="宋体" w:eastAsia="宋体" w:cs="宋体"/>
          <w:b w:val="0"/>
          <w:bCs w:val="0"/>
          <w:color w:val="auto"/>
          <w:sz w:val="24"/>
          <w:highlight w:val="none"/>
        </w:rPr>
        <w:t xml:space="preserve">（4）涉及有责任的第三方事故时，被保险人不能在获得保险人书面同意以前放弃向其追索的权利；</w:t>
      </w:r>
      <w:r/>
    </w:p>
    <w:p>
      <w:pPr>
        <w:pStyle w:val="1555"/>
        <w:ind w:firstLine="360"/>
        <w:spacing w:line="500" w:lineRule="exact"/>
        <w:rPr>
          <w:rStyle w:val="785"/>
          <w:rFonts w:hint="eastAsia" w:ascii="宋体" w:hAnsi="宋体" w:eastAsia="宋体" w:cs="宋体"/>
          <w:b w:val="0"/>
          <w:bCs w:val="0"/>
          <w:color w:val="auto"/>
          <w:sz w:val="24"/>
          <w:highlight w:val="none"/>
        </w:rPr>
      </w:pPr>
      <w:r>
        <w:rPr>
          <w:rStyle w:val="785"/>
          <w:rFonts w:hint="eastAsia" w:ascii="宋体" w:hAnsi="宋体" w:eastAsia="宋体" w:cs="宋体"/>
          <w:b w:val="0"/>
          <w:bCs w:val="0"/>
          <w:color w:val="auto"/>
          <w:sz w:val="24"/>
          <w:highlight w:val="none"/>
        </w:rPr>
        <w:t xml:space="preserve">（5）关于保险合同</w:t>
      </w:r>
      <w:r/>
    </w:p>
    <w:p>
      <w:pPr>
        <w:pStyle w:val="1555"/>
        <w:ind w:firstLine="480"/>
        <w:spacing w:line="500" w:lineRule="exact"/>
        <w:rPr>
          <w:rStyle w:val="785"/>
          <w:rFonts w:hint="eastAsia" w:ascii="宋体" w:hAnsi="宋体" w:eastAsia="宋体" w:cs="宋体"/>
          <w:b w:val="0"/>
          <w:bCs w:val="0"/>
          <w:color w:val="auto"/>
          <w:sz w:val="24"/>
          <w:highlight w:val="none"/>
        </w:rPr>
      </w:pPr>
      <w:r>
        <w:rPr>
          <w:rStyle w:val="785"/>
          <w:rFonts w:hint="eastAsia" w:ascii="宋体" w:hAnsi="宋体" w:eastAsia="宋体" w:cs="宋体"/>
          <w:b w:val="0"/>
          <w:bCs w:val="0"/>
          <w:color w:val="auto"/>
          <w:sz w:val="24"/>
          <w:highlight w:val="none"/>
        </w:rPr>
        <w:t xml:space="preserve">①本</w:t>
      </w:r>
      <w:r>
        <w:rPr>
          <w:rStyle w:val="785"/>
          <w:rFonts w:hint="eastAsia" w:ascii="宋体" w:hAnsi="宋体" w:cs="宋体"/>
          <w:b w:val="0"/>
          <w:bCs w:val="0"/>
          <w:color w:val="auto"/>
          <w:sz w:val="24"/>
          <w:highlight w:val="none"/>
          <w:lang w:eastAsia="zh-CN"/>
        </w:rPr>
        <w:t xml:space="preserve">磋商文件</w:t>
      </w:r>
      <w:r>
        <w:rPr>
          <w:rStyle w:val="785"/>
          <w:rFonts w:hint="eastAsia" w:ascii="宋体" w:hAnsi="宋体" w:eastAsia="宋体" w:cs="宋体"/>
          <w:b w:val="0"/>
          <w:bCs w:val="0"/>
          <w:color w:val="auto"/>
          <w:sz w:val="24"/>
          <w:highlight w:val="none"/>
        </w:rPr>
        <w:t xml:space="preserve">投保残疾人员名单、保险单、今后可能产生的批单、书面询问/答疑和双方往来函电等共同构成保险合同；构成保险合同的所有文件被认为是一个整体，相互说明、相互补充，如条文含义不明确时，按保险法有关规定办理，当文件间相互矛盾时，以本</w:t>
      </w:r>
      <w:r>
        <w:rPr>
          <w:rStyle w:val="785"/>
          <w:rFonts w:hint="eastAsia" w:ascii="宋体" w:hAnsi="宋体" w:cs="宋体"/>
          <w:b w:val="0"/>
          <w:bCs w:val="0"/>
          <w:color w:val="auto"/>
          <w:sz w:val="24"/>
          <w:highlight w:val="none"/>
          <w:lang w:eastAsia="zh-CN"/>
        </w:rPr>
        <w:t xml:space="preserve">磋商文件</w:t>
      </w:r>
      <w:r>
        <w:rPr>
          <w:rStyle w:val="785"/>
          <w:rFonts w:hint="eastAsia" w:ascii="宋体" w:hAnsi="宋体" w:eastAsia="宋体" w:cs="宋体"/>
          <w:b w:val="0"/>
          <w:bCs w:val="0"/>
          <w:color w:val="auto"/>
          <w:sz w:val="24"/>
          <w:highlight w:val="none"/>
        </w:rPr>
        <w:t xml:space="preserve">及最终协议为准，</w:t>
      </w:r>
      <w:r>
        <w:rPr>
          <w:rStyle w:val="785"/>
          <w:rFonts w:hint="eastAsia" w:ascii="宋体" w:hAnsi="宋体" w:cs="宋体"/>
          <w:b w:val="0"/>
          <w:bCs w:val="0"/>
          <w:color w:val="auto"/>
          <w:sz w:val="24"/>
          <w:highlight w:val="none"/>
          <w:lang w:val="en-US" w:eastAsia="zh-CN"/>
        </w:rPr>
        <w:t xml:space="preserve">采购人</w:t>
      </w:r>
      <w:r>
        <w:rPr>
          <w:rStyle w:val="785"/>
          <w:rFonts w:hint="eastAsia" w:ascii="宋体" w:hAnsi="宋体" w:eastAsia="宋体" w:cs="宋体"/>
          <w:b w:val="0"/>
          <w:bCs w:val="0"/>
          <w:color w:val="auto"/>
          <w:sz w:val="24"/>
          <w:highlight w:val="none"/>
        </w:rPr>
        <w:t xml:space="preserve">具有解释权；</w:t>
      </w:r>
      <w:r/>
    </w:p>
    <w:p>
      <w:pPr>
        <w:pStyle w:val="1555"/>
        <w:ind w:firstLine="480"/>
        <w:spacing w:line="500" w:lineRule="exact"/>
        <w:rPr>
          <w:rStyle w:val="785"/>
          <w:rFonts w:hint="eastAsia" w:ascii="宋体" w:hAnsi="宋体" w:eastAsia="宋体" w:cs="宋体"/>
          <w:b w:val="0"/>
          <w:bCs w:val="0"/>
          <w:color w:val="auto"/>
          <w:sz w:val="24"/>
          <w:highlight w:val="none"/>
        </w:rPr>
      </w:pPr>
      <w:r>
        <w:rPr>
          <w:rStyle w:val="785"/>
          <w:rFonts w:hint="eastAsia" w:ascii="宋体" w:hAnsi="宋体" w:eastAsia="宋体" w:cs="宋体"/>
          <w:b w:val="0"/>
          <w:bCs w:val="0"/>
          <w:color w:val="auto"/>
          <w:sz w:val="24"/>
          <w:highlight w:val="none"/>
        </w:rPr>
        <w:t xml:space="preserve">②</w:t>
      </w:r>
      <w:r>
        <w:rPr>
          <w:rStyle w:val="785"/>
          <w:rFonts w:hint="eastAsia" w:ascii="宋体" w:hAnsi="宋体" w:cs="宋体"/>
          <w:b w:val="0"/>
          <w:bCs w:val="0"/>
          <w:color w:val="auto"/>
          <w:sz w:val="24"/>
          <w:highlight w:val="none"/>
          <w:lang w:eastAsia="zh-CN"/>
        </w:rPr>
        <w:t xml:space="preserve">供应商</w:t>
      </w:r>
      <w:r>
        <w:rPr>
          <w:rStyle w:val="785"/>
          <w:rFonts w:hint="eastAsia" w:ascii="宋体" w:hAnsi="宋体" w:eastAsia="宋体" w:cs="宋体"/>
          <w:b w:val="0"/>
          <w:bCs w:val="0"/>
          <w:color w:val="auto"/>
          <w:sz w:val="24"/>
          <w:highlight w:val="none"/>
        </w:rPr>
        <w:t xml:space="preserve">其作为保险人对保险条款进行解释时，只是合同一方的理解，对争议或歧义的裁决应按保险法规定做出有利于被保险人的解释，若仍有争议则以法院裁决为准，但本条约定并不排斥双方平等协商解决争议的原则。</w:t>
      </w:r>
      <w:bookmarkEnd w:id="116"/>
      <w:r/>
      <w:bookmarkEnd w:id="117"/>
      <w:r/>
      <w:r/>
    </w:p>
    <w:p>
      <w:pPr>
        <w:pStyle w:val="1555"/>
        <w:ind w:firstLine="480"/>
        <w:spacing w:line="500" w:lineRule="exact"/>
        <w:rPr>
          <w:rStyle w:val="785"/>
          <w:rFonts w:hint="eastAsia" w:ascii="宋体" w:hAnsi="宋体" w:eastAsia="宋体" w:cs="宋体"/>
          <w:b w:val="0"/>
          <w:bCs w:val="0"/>
          <w:color w:val="auto"/>
          <w:sz w:val="24"/>
          <w:highlight w:val="none"/>
        </w:rPr>
      </w:pPr>
      <w:r>
        <w:rPr>
          <w:rStyle w:val="785"/>
          <w:rFonts w:hint="eastAsia" w:ascii="宋体" w:hAnsi="宋体" w:cs="宋体"/>
          <w:b w:val="0"/>
          <w:bCs w:val="0"/>
          <w:color w:val="auto"/>
          <w:sz w:val="24"/>
          <w:highlight w:val="none"/>
          <w:lang w:val="en-US" w:eastAsia="zh-CN"/>
        </w:rPr>
        <w:t xml:space="preserve">6</w:t>
      </w:r>
      <w:r>
        <w:rPr>
          <w:rStyle w:val="785"/>
          <w:rFonts w:hint="eastAsia" w:ascii="宋体" w:hAnsi="宋体" w:eastAsia="宋体" w:cs="宋体"/>
          <w:b w:val="0"/>
          <w:bCs w:val="0"/>
          <w:color w:val="auto"/>
          <w:sz w:val="24"/>
          <w:highlight w:val="none"/>
        </w:rPr>
        <w:t xml:space="preserve">. 重大疾病</w:t>
      </w:r>
      <w:r/>
    </w:p>
    <w:p>
      <w:pPr>
        <w:pStyle w:val="1477"/>
        <w:ind w:firstLine="480"/>
        <w:spacing w:line="500" w:lineRule="exact"/>
        <w:rPr>
          <w:rStyle w:val="785"/>
          <w:rFonts w:hint="eastAsia" w:ascii="宋体" w:hAnsi="宋体" w:eastAsia="宋体" w:cs="宋体"/>
          <w:b w:val="0"/>
          <w:bCs w:val="0"/>
          <w:color w:val="auto"/>
          <w:sz w:val="24"/>
          <w:szCs w:val="24"/>
          <w:highlight w:val="none"/>
        </w:rPr>
      </w:pPr>
      <w:r>
        <w:rPr>
          <w:rStyle w:val="785"/>
          <w:rFonts w:hint="eastAsia" w:ascii="宋体" w:hAnsi="宋体" w:eastAsia="宋体" w:cs="宋体"/>
          <w:b w:val="0"/>
          <w:bCs w:val="0"/>
          <w:color w:val="auto"/>
          <w:sz w:val="24"/>
          <w:szCs w:val="24"/>
          <w:highlight w:val="none"/>
        </w:rPr>
        <w:t xml:space="preserve">本项目所指重大疾病共有105种，包括中</w:t>
      </w:r>
      <w:r>
        <w:rPr>
          <w:rStyle w:val="785"/>
          <w:rFonts w:hint="eastAsia" w:ascii="宋体" w:hAnsi="宋体" w:eastAsia="宋体" w:cs="宋体"/>
          <w:b w:val="0"/>
          <w:bCs w:val="0"/>
          <w:color w:val="auto"/>
          <w:sz w:val="24"/>
          <w:szCs w:val="24"/>
          <w:highlight w:val="none"/>
        </w:rPr>
        <w:t xml:space="preserve">国保险行业协会颁布的《重大疾病保险的疾病定义使用规范（2020年修订版）》（以下简称“规范”）规定的28种重疾（疾病名称和疾病定义与“规范”一致），第29至105种重度疾病为“规范”规定范围之外的疾病。具体105重大疾病明细如下：1.恶性肿瘤—重度 2. 较重急性心肌梗死 3. 严重脑中风后遗症4.重大器官移植术或造血干细胞移植术 5.冠状动脉搭桥术（或称冠状动脉旁路移植术） 6.严重慢性肾脏病 7.多个肢体缺失 8.急性重症肝炎或亚急性重症肝炎 9. 严重非恶性颅内肿瘤 10.严重慢性肝衰竭11.严重脑炎</w:t>
      </w:r>
      <w:r>
        <w:rPr>
          <w:rStyle w:val="785"/>
          <w:rFonts w:hint="eastAsia" w:ascii="宋体" w:hAnsi="宋体" w:eastAsia="宋体" w:cs="宋体"/>
          <w:b w:val="0"/>
          <w:bCs w:val="0"/>
          <w:color w:val="auto"/>
          <w:sz w:val="24"/>
          <w:szCs w:val="24"/>
          <w:highlight w:val="none"/>
          <w:lang w:val="en-US" w:eastAsia="zh-CN"/>
        </w:rPr>
        <w:t xml:space="preserve">后遗症</w:t>
      </w:r>
      <w:r>
        <w:rPr>
          <w:rStyle w:val="785"/>
          <w:rFonts w:hint="eastAsia" w:ascii="宋体" w:hAnsi="宋体" w:eastAsia="宋体" w:cs="宋体"/>
          <w:b w:val="0"/>
          <w:bCs w:val="0"/>
          <w:color w:val="auto"/>
          <w:sz w:val="24"/>
          <w:szCs w:val="24"/>
          <w:highlight w:val="none"/>
        </w:rPr>
        <w:t xml:space="preserve">或严重脑膜炎后遗症 12.深度昏迷 13.双耳失聪 14.双目失明 15.瘫痪 16.心脏</w:t>
      </w:r>
      <w:r>
        <w:rPr>
          <w:rStyle w:val="785"/>
          <w:rFonts w:hint="eastAsia" w:ascii="宋体" w:hAnsi="宋体" w:eastAsia="宋体" w:cs="宋体"/>
          <w:b w:val="0"/>
          <w:bCs w:val="0"/>
          <w:color w:val="auto"/>
          <w:sz w:val="24"/>
          <w:szCs w:val="24"/>
          <w:highlight w:val="none"/>
        </w:rPr>
        <w:t xml:space="preserve">瓣膜手术 17.严重阿尔茨海默病 18.严重脑损伤 19.严重原发性帕金森病 20.严重Ⅲ度烧伤 21.严重特发性肺动脉高压 22.严重运动神经元病 23.语言能力丧失24.重型再生障碍性贫血 25.主动脉手术 26.严重慢性呼吸衰竭 27.严重克罗恩病 28.严重溃疡性结肠炎 29.胰腺移植30.埃博拉病毒感染31.丝虫病所致象皮肿32.主动脉夹层血肿33.克雅氏病34.破裂脑动脉瘤夹闭手术35.经输血导致的HIV感染36.因职业关系导致的HIV感染37.器官移植导致的HIV感染38.原发性硬化性胆管炎3</w:t>
      </w:r>
      <w:r>
        <w:rPr>
          <w:rStyle w:val="785"/>
          <w:rFonts w:hint="eastAsia" w:ascii="宋体" w:hAnsi="宋体" w:eastAsia="宋体" w:cs="宋体"/>
          <w:b w:val="0"/>
          <w:bCs w:val="0"/>
          <w:color w:val="auto"/>
          <w:sz w:val="24"/>
          <w:szCs w:val="24"/>
          <w:highlight w:val="none"/>
        </w:rPr>
        <w:t xml:space="preserve">9.特发性慢性肾上腺皮质功能减退40.系统性红斑狼疮 －（并发）Ⅲ型或以上狼疮性肾炎41.严重类风湿性关节炎42.重症急性坏死性筋膜炎43.急性坏死性胰腺炎开腹手术44.系统性硬皮病45.慢性复发性胰腺炎46.严重肌营养不良症47.溶血性链球菌引起的坏疽48.植物人状态49.亚历山大病50.非阿尔茨海默病所致严重痴呆51.严重冠状动脉粥样硬化性心脏病52.多发性硬化53.全身性（型）重症肌无力54.严重心肌病55.严重心肌炎56.肺淋巴管肌瘤病57.侵蚀性葡萄胎（或称恶性葡萄胎）58.心脏粘液瘤59.感染性</w:t>
      </w:r>
      <w:r>
        <w:rPr>
          <w:rStyle w:val="785"/>
          <w:rFonts w:hint="eastAsia" w:ascii="宋体" w:hAnsi="宋体" w:eastAsia="宋体" w:cs="宋体"/>
          <w:b w:val="0"/>
          <w:bCs w:val="0"/>
          <w:color w:val="auto"/>
          <w:sz w:val="24"/>
          <w:szCs w:val="24"/>
          <w:highlight w:val="none"/>
        </w:rPr>
        <w:t xml:space="preserve">心内膜炎60.肝豆状核变性61.肺源性心脏病62.肾髓质囊性病63.严重继发性肺动脉高压64.进行性核上性麻痹65.失去一肢及一眼66.嗜铬细胞瘤67.颅脑手术68.严重自身免疫性肝炎69.原发性骨髓纤维化70.严重获得性或继发性肺泡蛋白质沉积症71.严重慢性缩窄性心包炎72.脑型疟疾73.胆道重建手术74.主动脉夹层瘤75.肌萎缩脊髓侧索硬化后遗症76.严重结核性脑膜炎77.严重肠道疾病并发症78.瑞氏综合征79.严重骨髓异常增生综合征80.严重面部烧伤81.严重川崎病82.重症手足口病83.严重哮喘 8</w:t>
      </w:r>
      <w:r>
        <w:rPr>
          <w:rStyle w:val="785"/>
          <w:rFonts w:hint="eastAsia" w:ascii="宋体" w:hAnsi="宋体" w:eastAsia="宋体" w:cs="宋体"/>
          <w:b w:val="0"/>
          <w:bCs w:val="0"/>
          <w:color w:val="auto"/>
          <w:sz w:val="24"/>
          <w:szCs w:val="24"/>
          <w:highlight w:val="none"/>
        </w:rPr>
        <w:t xml:space="preserve">4.骨生长不全症85.进行性多灶性白质脑病86.脊髓小脑变性症87.婴儿进行性脊肌萎缩症88.多处臂丛神经根性撕脱89.艾森门格综合征90.细菌性脑脊髓膜炎91.库鲁病92.疾病或外伤所致智力障碍93.严重幼年型类风湿性关节炎94.席汉氏综合征95.脊柱裂96.弥漫性血管内凝血97.血管性痴呆98.额颞叶痴呆99.路易体痴呆100.亚急性硬化性全脑炎101.进行性风疹性全脑炎102.败血症导致的多器官功能障碍综合症103.头臂动脉型多发性大动脉炎旁路移植手术104.范可尼综合征105.Brugada综合征。</w:t>
      </w:r>
      <w:r/>
    </w:p>
    <w:p>
      <w:pPr>
        <w:pStyle w:val="1477"/>
        <w:ind w:left="0" w:firstLine="480"/>
        <w:jc w:val="both"/>
        <w:spacing w:line="500" w:lineRule="exact"/>
        <w:rPr>
          <w:rStyle w:val="785"/>
          <w:rFonts w:hint="eastAsia" w:ascii="宋体" w:hAnsi="宋体" w:eastAsia="宋体" w:cs="宋体"/>
          <w:b w:val="0"/>
          <w:bCs w:val="0"/>
          <w:color w:val="auto"/>
          <w:sz w:val="24"/>
          <w:highlight w:val="none"/>
        </w:rPr>
      </w:pPr>
      <w:r>
        <w:rPr>
          <w:rStyle w:val="785"/>
          <w:rFonts w:hint="eastAsia" w:ascii="宋体" w:hAnsi="宋体" w:cs="宋体"/>
          <w:b w:val="0"/>
          <w:bCs w:val="0"/>
          <w:color w:val="auto"/>
          <w:sz w:val="24"/>
          <w:highlight w:val="none"/>
          <w:lang w:val="en-US" w:eastAsia="zh-CN"/>
        </w:rPr>
        <w:t xml:space="preserve">7</w:t>
      </w:r>
      <w:r>
        <w:rPr>
          <w:rStyle w:val="785"/>
          <w:rFonts w:hint="eastAsia" w:ascii="宋体" w:hAnsi="宋体" w:eastAsia="宋体" w:cs="宋体"/>
          <w:b w:val="0"/>
          <w:bCs w:val="0"/>
          <w:color w:val="auto"/>
          <w:sz w:val="24"/>
          <w:highlight w:val="none"/>
        </w:rPr>
        <w:t xml:space="preserve">. 其他约定</w:t>
      </w:r>
      <w:r/>
    </w:p>
    <w:p>
      <w:pPr>
        <w:pStyle w:val="1555"/>
        <w:ind w:firstLine="360"/>
        <w:spacing w:line="500" w:lineRule="exact"/>
        <w:rPr>
          <w:rStyle w:val="785"/>
          <w:rFonts w:hint="eastAsia" w:ascii="宋体" w:hAnsi="宋体" w:eastAsia="宋体" w:cs="宋体"/>
          <w:b w:val="0"/>
          <w:bCs w:val="0"/>
          <w:color w:val="auto"/>
          <w:sz w:val="24"/>
          <w:highlight w:val="none"/>
        </w:rPr>
      </w:pPr>
      <w:r>
        <w:rPr>
          <w:rStyle w:val="785"/>
          <w:rFonts w:hint="eastAsia" w:ascii="宋体" w:hAnsi="宋体" w:eastAsia="宋体" w:cs="宋体"/>
          <w:b w:val="0"/>
          <w:bCs w:val="0"/>
          <w:color w:val="auto"/>
          <w:sz w:val="24"/>
          <w:highlight w:val="none"/>
        </w:rPr>
        <w:t xml:space="preserve">（1）经招标确定的承保人负责本项目各区域的投保、出单、宣传及理赔工作，每月至少与承保区域的县残联会商一次项目实施情况。</w:t>
      </w:r>
      <w:r/>
    </w:p>
    <w:p>
      <w:pPr>
        <w:pStyle w:val="1555"/>
        <w:ind w:firstLine="360"/>
        <w:spacing w:line="500" w:lineRule="exact"/>
        <w:rPr>
          <w:rStyle w:val="785"/>
          <w:rFonts w:hint="eastAsia" w:ascii="宋体" w:hAnsi="宋体" w:eastAsia="宋体" w:cs="宋体"/>
          <w:b w:val="0"/>
          <w:bCs w:val="0"/>
          <w:color w:val="auto"/>
          <w:sz w:val="24"/>
          <w:highlight w:val="none"/>
        </w:rPr>
      </w:pPr>
      <w:r>
        <w:rPr>
          <w:rStyle w:val="785"/>
          <w:rFonts w:hint="eastAsia" w:ascii="宋体" w:hAnsi="宋体" w:eastAsia="宋体" w:cs="宋体"/>
          <w:b w:val="0"/>
          <w:bCs w:val="0"/>
          <w:color w:val="auto"/>
          <w:sz w:val="24"/>
          <w:highlight w:val="none"/>
        </w:rPr>
        <w:t xml:space="preserve">（2）承保人按月度汇总承保及理赔数据，于次月10日前向县残联提交承保及理赔数据月报，并于保险年度结束后15日内递交承保及理赔数据年报。</w:t>
      </w:r>
      <w:r/>
    </w:p>
    <w:p>
      <w:pPr>
        <w:pStyle w:val="1555"/>
        <w:ind w:firstLine="360"/>
        <w:spacing w:line="500" w:lineRule="exact"/>
        <w:rPr>
          <w:rStyle w:val="785"/>
          <w:rFonts w:hint="eastAsia" w:ascii="宋体" w:hAnsi="宋体" w:eastAsia="宋体" w:cs="宋体"/>
          <w:b w:val="0"/>
          <w:bCs w:val="0"/>
          <w:color w:val="auto"/>
          <w:sz w:val="24"/>
          <w:highlight w:val="none"/>
        </w:rPr>
      </w:pPr>
      <w:r>
        <w:rPr>
          <w:rStyle w:val="785"/>
          <w:rFonts w:hint="eastAsia" w:ascii="宋体" w:hAnsi="宋体" w:eastAsia="宋体" w:cs="宋体"/>
          <w:b w:val="0"/>
          <w:bCs w:val="0"/>
          <w:color w:val="auto"/>
          <w:sz w:val="24"/>
          <w:highlight w:val="none"/>
        </w:rPr>
        <w:t xml:space="preserve">（3）承保人须将保单送至被保人手中，并告知理赔应知事项。</w:t>
      </w:r>
      <w:r/>
    </w:p>
    <w:p>
      <w:pPr>
        <w:pStyle w:val="1555"/>
        <w:ind w:firstLine="360"/>
        <w:spacing w:line="500" w:lineRule="exact"/>
        <w:rPr>
          <w:rStyle w:val="785"/>
          <w:rFonts w:hint="eastAsia" w:ascii="宋体" w:hAnsi="宋体" w:eastAsia="宋体" w:cs="宋体"/>
          <w:b w:val="0"/>
          <w:bCs w:val="0"/>
          <w:color w:val="auto"/>
          <w:sz w:val="24"/>
          <w:highlight w:val="none"/>
        </w:rPr>
      </w:pPr>
      <w:r>
        <w:rPr>
          <w:rStyle w:val="785"/>
          <w:rFonts w:hint="eastAsia" w:ascii="宋体" w:hAnsi="宋体" w:eastAsia="宋体" w:cs="宋体"/>
          <w:b w:val="0"/>
          <w:bCs w:val="0"/>
          <w:color w:val="auto"/>
          <w:sz w:val="24"/>
          <w:highlight w:val="none"/>
        </w:rPr>
        <w:t xml:space="preserve">（4）本项目理赔赔款支付时限承诺自受理之日起计算，承保人应在接到理赔申请后详细告知申请人需要提供的材料，如申请人符合理赔条件，承保人不得以材料不齐等拖延赔付，应通过预赔付等机制及时履约。</w:t>
      </w:r>
      <w:r/>
    </w:p>
    <w:p>
      <w:pPr>
        <w:pStyle w:val="1555"/>
        <w:ind w:firstLine="360"/>
        <w:spacing w:line="500" w:lineRule="exact"/>
        <w:rPr>
          <w:rStyle w:val="785"/>
          <w:rFonts w:hint="eastAsia" w:ascii="宋体" w:hAnsi="宋体" w:eastAsia="宋体" w:cs="宋体"/>
          <w:b w:val="0"/>
          <w:bCs w:val="0"/>
          <w:color w:val="auto"/>
          <w:sz w:val="24"/>
          <w:highlight w:val="none"/>
        </w:rPr>
      </w:pPr>
      <w:r>
        <w:rPr>
          <w:rStyle w:val="785"/>
          <w:rFonts w:hint="eastAsia" w:ascii="宋体" w:hAnsi="宋体" w:eastAsia="宋体" w:cs="宋体"/>
          <w:b w:val="0"/>
          <w:bCs w:val="0"/>
          <w:color w:val="auto"/>
          <w:sz w:val="24"/>
          <w:highlight w:val="none"/>
        </w:rPr>
        <w:t xml:space="preserve">（5）承保人在合同有效期内需接受项目服务区域内各级残联监督。如1年内发生任何有效投诉超过3起（含），一经查实，立即终止承保人的资格，情节严重的，取消中标资格，如有向参保残疾人另行收取保费、截留挪用保险赔偿金的，</w:t>
      </w:r>
      <w:r>
        <w:rPr>
          <w:rStyle w:val="785"/>
          <w:rFonts w:hint="eastAsia" w:ascii="宋体" w:hAnsi="宋体" w:eastAsia="宋体" w:cs="宋体"/>
          <w:b w:val="0"/>
          <w:bCs w:val="0"/>
          <w:color w:val="auto"/>
          <w:sz w:val="24"/>
          <w:highlight w:val="none"/>
        </w:rPr>
        <w:t xml:space="preserve">经</w:t>
      </w:r>
      <w:r>
        <w:rPr>
          <w:rStyle w:val="785"/>
          <w:rFonts w:hint="eastAsia" w:ascii="宋体" w:hAnsi="宋体" w:eastAsia="宋体" w:cs="宋体"/>
          <w:b w:val="0"/>
          <w:bCs w:val="0"/>
          <w:color w:val="auto"/>
          <w:sz w:val="24"/>
          <w:highlight w:val="none"/>
        </w:rPr>
        <w:t xml:space="preserve">认定后由采购人视情处理，构成违法的，依法处理。</w:t>
      </w:r>
      <w:r/>
    </w:p>
    <w:p>
      <w:pPr>
        <w:pStyle w:val="1555"/>
        <w:ind w:firstLine="482"/>
        <w:spacing w:line="500" w:lineRule="exact"/>
        <w:rPr>
          <w:rStyle w:val="785"/>
          <w:rFonts w:hint="eastAsia" w:ascii="宋体" w:hAnsi="宋体" w:eastAsia="宋体" w:cs="宋体"/>
          <w:b/>
          <w:bCs/>
          <w:color w:val="auto"/>
          <w:sz w:val="24"/>
          <w:highlight w:val="none"/>
        </w:rPr>
      </w:pPr>
      <w:r>
        <w:rPr>
          <w:rStyle w:val="785"/>
          <w:rFonts w:hint="eastAsia" w:ascii="宋体" w:hAnsi="宋体" w:eastAsia="宋体" w:cs="宋体"/>
          <w:b/>
          <w:bCs/>
          <w:color w:val="auto"/>
          <w:sz w:val="24"/>
          <w:highlight w:val="none"/>
        </w:rPr>
        <w:t xml:space="preserve">四、付款方式</w:t>
      </w:r>
      <w:r/>
    </w:p>
    <w:p>
      <w:pPr>
        <w:ind w:firstLine="482"/>
        <w:spacing w:line="559" w:lineRule="atLeast"/>
        <w:shd w:val="clear" w:color="auto"/>
        <w:rPr>
          <w:rFonts w:hint="eastAsia" w:asciiTheme="minorEastAsia" w:hAnsiTheme="minorEastAsia" w:eastAsiaTheme="minorEastAsia" w:cstheme="minorEastAsia"/>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highlight w:val="none"/>
        </w:rPr>
        <w:t xml:space="preserve">预</w:t>
      </w:r>
      <w:r>
        <w:rPr>
          <w:rFonts w:hint="eastAsia" w:asciiTheme="minorEastAsia" w:hAnsiTheme="minorEastAsia" w:eastAsiaTheme="minorEastAsia" w:cstheme="minorEastAsia"/>
          <w:b w:val="0"/>
          <w:bCs w:val="0"/>
          <w:color w:val="auto"/>
          <w:sz w:val="24"/>
          <w:highlight w:val="none"/>
          <w:lang w:val="en-US" w:eastAsia="zh-CN"/>
        </w:rPr>
        <w:t xml:space="preserve">付款：签订合同并收到供应商发票后10个工作日内支付合同总价款的10%；</w:t>
      </w:r>
      <w:r/>
    </w:p>
    <w:p>
      <w:pPr>
        <w:ind w:firstLine="482"/>
        <w:jc w:val="left"/>
        <w:spacing w:line="440" w:lineRule="exact"/>
        <w:widowControl/>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进度款：</w:t>
      </w:r>
      <w:r>
        <w:rPr>
          <w:rFonts w:hint="eastAsia" w:ascii="宋体" w:hAnsi="宋体" w:eastAsia="宋体" w:cs="宋体"/>
          <w:b w:val="0"/>
          <w:color w:val="auto"/>
          <w:sz w:val="24"/>
          <w:highlight w:val="none"/>
        </w:rPr>
        <w:t xml:space="preserve">剩余款项根据考核情况，据实结算</w:t>
      </w:r>
      <w:r>
        <w:rPr>
          <w:rFonts w:hint="eastAsia" w:ascii="宋体" w:hAnsi="宋体" w:cs="宋体"/>
          <w:b w:val="0"/>
          <w:color w:val="auto"/>
          <w:sz w:val="24"/>
          <w:highlight w:val="none"/>
          <w:lang w:eastAsia="zh-CN"/>
        </w:rPr>
        <w:t xml:space="preserve">。</w:t>
      </w:r>
      <w:r>
        <w:rPr>
          <w:rFonts w:hint="eastAsia" w:ascii="宋体" w:hAnsi="宋体" w:eastAsia="宋体" w:cs="宋体"/>
          <w:color w:val="auto"/>
          <w:sz w:val="24"/>
          <w:szCs w:val="24"/>
          <w:highlight w:val="none"/>
        </w:rPr>
        <w:t xml:space="preserve">被保险人的保险费由甲方全额承担，保单出具后按每一个保险期间支付该保险期间保险费的90%</w:t>
      </w:r>
      <w:r>
        <w:rPr>
          <w:rFonts w:hint="eastAsia" w:ascii="宋体" w:hAnsi="宋体" w:eastAsia="宋体" w:cs="宋体"/>
          <w:color w:val="auto"/>
          <w:sz w:val="24"/>
          <w:szCs w:val="24"/>
          <w:highlight w:val="none"/>
          <w:lang w:eastAsia="zh-CN"/>
        </w:rPr>
        <w:t xml:space="preserve">，</w:t>
      </w:r>
      <w:r>
        <w:rPr>
          <w:rFonts w:hint="eastAsia" w:ascii="宋体" w:hAnsi="宋体" w:cs="宋体"/>
          <w:b w:val="0"/>
          <w:bCs w:val="0"/>
          <w:color w:val="000000"/>
          <w:sz w:val="24"/>
          <w:szCs w:val="24"/>
          <w:highlight w:val="none"/>
          <w:lang w:eastAsia="zh-CN" w:bidi="ar"/>
        </w:rPr>
        <w:t xml:space="preserve">剩余10%待考核后一次性支付。</w:t>
      </w:r>
      <w:r/>
    </w:p>
    <w:p>
      <w:pPr>
        <w:ind w:firstLine="482"/>
        <w:spacing w:line="559" w:lineRule="atLeast"/>
        <w:shd w:val="clear" w:color="auto"/>
        <w:rPr>
          <w:rFonts w:hint="eastAsia" w:asciiTheme="minorEastAsia" w:hAnsiTheme="minorEastAsia" w:eastAsiaTheme="minorEastAsia" w:cstheme="minorEastAsia"/>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highlight w:val="none"/>
        </w:rPr>
        <w:t xml:space="preserve">备注:</w:t>
      </w:r>
      <w:r/>
    </w:p>
    <w:p>
      <w:pPr>
        <w:ind w:firstLine="482"/>
        <w:spacing w:line="559" w:lineRule="atLeast"/>
        <w:shd w:val="clear" w:color="auto"/>
        <w:rPr>
          <w:rFonts w:hint="eastAsia" w:asciiTheme="minorEastAsia" w:hAnsiTheme="minorEastAsia" w:eastAsiaTheme="minorEastAsia" w:cstheme="minorEastAsia"/>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highlight w:val="none"/>
        </w:rPr>
        <w:t xml:space="preserve">(1)可以采用数字人民币支付。</w:t>
      </w:r>
      <w:r/>
    </w:p>
    <w:p>
      <w:pPr>
        <w:ind w:firstLine="482"/>
        <w:spacing w:line="559" w:lineRule="atLeast"/>
        <w:shd w:val="clear" w:color="auto"/>
        <w:rPr>
          <w:rFonts w:hint="eastAsia" w:asciiTheme="minorEastAsia" w:hAnsiTheme="minorEastAsia" w:eastAsiaTheme="minorEastAsia" w:cstheme="minorEastAsia"/>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highlight w:val="none"/>
        </w:rPr>
        <w:t xml:space="preserve">(2)资金支付的时间:收到供应商发票后10个工作日内。</w:t>
      </w:r>
      <w:r/>
    </w:p>
    <w:p>
      <w:pPr>
        <w:ind w:firstLine="482"/>
        <w:spacing w:line="559" w:lineRule="atLeast"/>
        <w:shd w:val="clear" w:color="auto"/>
        <w:rPr>
          <w:rFonts w:hint="eastAsia" w:asciiTheme="minorEastAsia" w:hAnsiTheme="minorEastAsia" w:eastAsiaTheme="minorEastAsia" w:cstheme="minorEastAsia"/>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highlight w:val="none"/>
        </w:rPr>
        <w:t xml:space="preserve">(3)资金支付的条件:满足相应阶段的要求且收到供应商发票。</w:t>
      </w:r>
      <w:r/>
    </w:p>
    <w:p>
      <w:pPr>
        <w:ind w:firstLine="482"/>
        <w:spacing w:line="559" w:lineRule="atLeast"/>
        <w:shd w:val="clear" w:color="auto"/>
        <w:rPr>
          <w:rFonts w:hint="eastAsia" w:asciiTheme="minorEastAsia" w:hAnsiTheme="minorEastAsia" w:eastAsiaTheme="minorEastAsia" w:cstheme="minorEastAsia"/>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highlight w:val="none"/>
        </w:rPr>
        <w:t xml:space="preserve">(4)</w:t>
      </w:r>
      <w:r>
        <w:rPr>
          <w:rFonts w:hint="eastAsia" w:asciiTheme="minorEastAsia" w:hAnsiTheme="minorEastAsia" w:eastAsiaTheme="minorEastAsia" w:cstheme="minorEastAsia"/>
          <w:b w:val="0"/>
          <w:bCs w:val="0"/>
          <w:color w:val="auto"/>
          <w:sz w:val="24"/>
          <w:highlight w:val="none"/>
          <w:lang w:val="en-US" w:eastAsia="zh-CN"/>
        </w:rPr>
        <w:t xml:space="preserve">由于每年度符合参保条件的人数中途可能会发生变动，按实际名单人数出具保险保单，按实结算费用。</w:t>
      </w:r>
      <w:r/>
    </w:p>
    <w:p>
      <w:pPr>
        <w:ind w:firstLine="482"/>
        <w:spacing w:line="559" w:lineRule="atLeast"/>
        <w:shd w:val="clear" w:color="auto"/>
        <w:rPr>
          <w:rStyle w:val="785"/>
          <w:rFonts w:hint="eastAsia" w:ascii="宋体" w:hAnsi="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highlight w:val="none"/>
        </w:rPr>
        <w:t xml:space="preserve">(5)在签订合同时，供应商明确表示无需预付款或者主动要求降低预付款比例的，采购人可不适用前述规定。</w:t>
      </w:r>
      <w:r/>
    </w:p>
    <w:p>
      <w:pPr>
        <w:pStyle w:val="1555"/>
        <w:ind w:firstLine="482"/>
        <w:spacing w:line="500" w:lineRule="exact"/>
        <w:rPr>
          <w:rStyle w:val="785"/>
          <w:rFonts w:hint="eastAsia" w:ascii="宋体" w:hAnsi="宋体" w:eastAsia="宋体" w:cs="宋体"/>
          <w:b/>
          <w:bCs/>
          <w:color w:val="auto"/>
          <w:sz w:val="24"/>
          <w:highlight w:val="none"/>
        </w:rPr>
      </w:pPr>
      <w:r>
        <w:rPr>
          <w:rStyle w:val="785"/>
          <w:rFonts w:hint="eastAsia" w:ascii="宋体" w:hAnsi="宋体" w:cs="宋体"/>
          <w:b/>
          <w:bCs/>
          <w:color w:val="auto"/>
          <w:sz w:val="24"/>
          <w:highlight w:val="none"/>
          <w:lang w:val="en-US" w:eastAsia="zh-CN"/>
        </w:rPr>
        <w:t xml:space="preserve">五</w:t>
      </w:r>
      <w:r>
        <w:rPr>
          <w:rStyle w:val="785"/>
          <w:rFonts w:hint="eastAsia" w:ascii="宋体" w:hAnsi="宋体" w:eastAsia="宋体" w:cs="宋体"/>
          <w:b/>
          <w:bCs/>
          <w:color w:val="auto"/>
          <w:sz w:val="24"/>
          <w:highlight w:val="none"/>
        </w:rPr>
        <w:t xml:space="preserve">、其他</w:t>
      </w:r>
      <w:r/>
    </w:p>
    <w:p>
      <w:pPr>
        <w:pStyle w:val="1555"/>
        <w:ind w:firstLine="360"/>
        <w:spacing w:line="500" w:lineRule="exact"/>
        <w:rPr>
          <w:rStyle w:val="785"/>
          <w:rFonts w:hint="eastAsia" w:ascii="宋体" w:hAnsi="宋体" w:eastAsia="宋体" w:cs="宋体"/>
          <w:b w:val="0"/>
          <w:bCs w:val="0"/>
          <w:color w:val="auto"/>
          <w:sz w:val="24"/>
          <w:highlight w:val="none"/>
        </w:rPr>
      </w:pPr>
      <w:r>
        <w:rPr>
          <w:rStyle w:val="785"/>
          <w:rFonts w:hint="eastAsia" w:ascii="宋体" w:hAnsi="宋体" w:eastAsia="宋体" w:cs="宋体"/>
          <w:b w:val="0"/>
          <w:bCs w:val="0"/>
          <w:color w:val="auto"/>
          <w:sz w:val="24"/>
          <w:highlight w:val="none"/>
        </w:rPr>
        <w:t xml:space="preserve">1. 若因招标等原因，合同签订日期无法保证在202</w:t>
      </w:r>
      <w:r>
        <w:rPr>
          <w:rStyle w:val="785"/>
          <w:rFonts w:hint="eastAsia" w:ascii="宋体" w:hAnsi="宋体" w:eastAsia="宋体" w:cs="宋体"/>
          <w:b w:val="0"/>
          <w:bCs w:val="0"/>
          <w:color w:val="auto"/>
          <w:sz w:val="24"/>
          <w:highlight w:val="none"/>
          <w:lang w:val="en-US" w:eastAsia="zh-CN"/>
        </w:rPr>
        <w:t xml:space="preserve">6</w:t>
      </w:r>
      <w:r>
        <w:rPr>
          <w:rStyle w:val="785"/>
          <w:rFonts w:hint="eastAsia" w:ascii="宋体" w:hAnsi="宋体" w:eastAsia="宋体" w:cs="宋体"/>
          <w:b w:val="0"/>
          <w:bCs w:val="0"/>
          <w:color w:val="auto"/>
          <w:sz w:val="24"/>
          <w:highlight w:val="none"/>
        </w:rPr>
        <w:t xml:space="preserve">年01月01日之前的，投标中标人承诺在202</w:t>
      </w:r>
      <w:r>
        <w:rPr>
          <w:rStyle w:val="785"/>
          <w:rFonts w:hint="eastAsia" w:ascii="宋体" w:hAnsi="宋体" w:eastAsia="宋体" w:cs="宋体"/>
          <w:b w:val="0"/>
          <w:bCs w:val="0"/>
          <w:color w:val="auto"/>
          <w:sz w:val="24"/>
          <w:highlight w:val="none"/>
          <w:lang w:val="en-US" w:eastAsia="zh-CN"/>
        </w:rPr>
        <w:t xml:space="preserve">6</w:t>
      </w:r>
      <w:r>
        <w:rPr>
          <w:rStyle w:val="785"/>
          <w:rFonts w:hint="eastAsia" w:ascii="宋体" w:hAnsi="宋体" w:eastAsia="宋体" w:cs="宋体"/>
          <w:b w:val="0"/>
          <w:bCs w:val="0"/>
          <w:color w:val="auto"/>
          <w:sz w:val="24"/>
          <w:highlight w:val="none"/>
        </w:rPr>
        <w:t xml:space="preserve">年1月1日生效，并承担在此期间的赔偿责任。</w:t>
      </w:r>
      <w:r/>
    </w:p>
    <w:p>
      <w:pPr>
        <w:pStyle w:val="1555"/>
        <w:ind w:firstLine="480"/>
        <w:spacing w:line="500" w:lineRule="exact"/>
        <w:rPr>
          <w:rStyle w:val="785"/>
          <w:rFonts w:hint="eastAsia" w:ascii="宋体" w:hAnsi="宋体" w:eastAsia="宋体" w:cs="宋体"/>
          <w:b w:val="0"/>
          <w:bCs w:val="0"/>
          <w:color w:val="auto"/>
          <w:sz w:val="24"/>
          <w:highlight w:val="none"/>
        </w:rPr>
      </w:pPr>
      <w:r>
        <w:rPr>
          <w:rStyle w:val="785"/>
          <w:rFonts w:hint="eastAsia" w:ascii="宋体" w:hAnsi="宋体" w:cs="宋体"/>
          <w:b w:val="0"/>
          <w:bCs w:val="0"/>
          <w:color w:val="auto"/>
          <w:sz w:val="24"/>
          <w:highlight w:val="none"/>
          <w:lang w:val="en-US" w:eastAsia="zh-CN"/>
        </w:rPr>
        <w:t xml:space="preserve">2.</w:t>
      </w:r>
      <w:r>
        <w:rPr>
          <w:rStyle w:val="785"/>
          <w:rFonts w:hint="eastAsia" w:ascii="宋体" w:hAnsi="宋体" w:eastAsia="宋体" w:cs="宋体"/>
          <w:b w:val="0"/>
          <w:bCs w:val="0"/>
          <w:color w:val="auto"/>
          <w:sz w:val="24"/>
          <w:highlight w:val="none"/>
        </w:rPr>
        <w:t xml:space="preserve"> 因残联信息系统偶有数据更新滞后情况发生，可能存在少数持证残疾人相关信息未能及时显示，如该部分被保险人保险期间出险，</w:t>
      </w:r>
      <w:r>
        <w:rPr>
          <w:rStyle w:val="785"/>
          <w:rFonts w:hint="eastAsia" w:ascii="宋体" w:hAnsi="宋体" w:eastAsia="宋体" w:cs="宋体"/>
          <w:b w:val="0"/>
          <w:bCs w:val="0"/>
          <w:color w:val="auto"/>
          <w:sz w:val="24"/>
          <w:highlight w:val="none"/>
        </w:rPr>
        <w:t xml:space="preserve">但所持残疾人证发证时间早于保单生效日前</w:t>
      </w:r>
      <w:r>
        <w:rPr>
          <w:rStyle w:val="785"/>
          <w:rFonts w:hint="eastAsia" w:ascii="宋体" w:hAnsi="宋体" w:eastAsia="宋体" w:cs="宋体"/>
          <w:b w:val="0"/>
          <w:bCs w:val="0"/>
          <w:color w:val="auto"/>
          <w:sz w:val="24"/>
          <w:highlight w:val="none"/>
        </w:rPr>
        <w:t xml:space="preserve">，保险人承担保险赔偿责任，如有争议以</w:t>
      </w:r>
      <w:r>
        <w:rPr>
          <w:rStyle w:val="785"/>
          <w:rFonts w:hint="eastAsia" w:ascii="宋体" w:hAnsi="宋体" w:eastAsia="宋体" w:cs="宋体"/>
          <w:b w:val="0"/>
          <w:bCs w:val="0"/>
          <w:color w:val="auto"/>
          <w:sz w:val="24"/>
          <w:highlight w:val="none"/>
          <w:lang w:eastAsia="zh-CN"/>
        </w:rPr>
        <w:t xml:space="preserve">泗洪县</w:t>
      </w:r>
      <w:r>
        <w:rPr>
          <w:rStyle w:val="785"/>
          <w:rFonts w:hint="eastAsia" w:ascii="宋体" w:hAnsi="宋体" w:eastAsia="宋体" w:cs="宋体"/>
          <w:b w:val="0"/>
          <w:bCs w:val="0"/>
          <w:color w:val="auto"/>
          <w:sz w:val="24"/>
          <w:highlight w:val="none"/>
        </w:rPr>
        <w:t xml:space="preserve">残联出具的相关证明为准。</w:t>
      </w:r>
      <w:r/>
    </w:p>
    <w:p>
      <w:pPr>
        <w:pStyle w:val="1555"/>
        <w:ind w:firstLine="480"/>
        <w:spacing w:line="500" w:lineRule="exact"/>
        <w:rPr>
          <w:rStyle w:val="785"/>
          <w:rFonts w:hint="eastAsia" w:ascii="宋体" w:hAnsi="宋体" w:eastAsia="宋体" w:cs="宋体"/>
          <w:b w:val="0"/>
          <w:bCs w:val="0"/>
          <w:color w:val="auto"/>
          <w:sz w:val="24"/>
          <w:highlight w:val="none"/>
        </w:rPr>
      </w:pPr>
      <w:r>
        <w:rPr>
          <w:rStyle w:val="785"/>
          <w:rFonts w:hint="eastAsia" w:ascii="宋体" w:hAnsi="宋体" w:cs="宋体"/>
          <w:b w:val="0"/>
          <w:bCs w:val="0"/>
          <w:color w:val="auto"/>
          <w:sz w:val="24"/>
          <w:highlight w:val="none"/>
          <w:lang w:val="en-US" w:eastAsia="zh-CN"/>
        </w:rPr>
        <w:t xml:space="preserve">3</w:t>
      </w:r>
      <w:r>
        <w:rPr>
          <w:rStyle w:val="785"/>
          <w:rFonts w:hint="eastAsia" w:ascii="宋体" w:hAnsi="宋体" w:eastAsia="宋体" w:cs="宋体"/>
          <w:b w:val="0"/>
          <w:bCs w:val="0"/>
          <w:color w:val="auto"/>
          <w:sz w:val="24"/>
          <w:highlight w:val="none"/>
        </w:rPr>
        <w:t xml:space="preserve">. 因残疾人所持《残疾人证》更换而造成的残疾类别、等级变动，不影响原有持证事实的，已经投保的残疾人，不作为新增残疾人重复核算保费，不因残疾人证变化而影响理赔。</w:t>
      </w:r>
      <w:r/>
    </w:p>
    <w:p>
      <w:pPr>
        <w:pStyle w:val="1555"/>
        <w:ind w:firstLine="480"/>
        <w:spacing w:line="500" w:lineRule="exact"/>
        <w:rPr>
          <w:rStyle w:val="785"/>
          <w:rFonts w:hint="eastAsia" w:ascii="宋体" w:hAnsi="宋体" w:cs="宋体"/>
          <w:b w:val="0"/>
          <w:bCs w:val="0"/>
          <w:color w:val="auto"/>
          <w:sz w:val="24"/>
          <w:highlight w:val="none"/>
          <w:lang w:val="en-US" w:eastAsia="zh-CN"/>
        </w:rPr>
      </w:pPr>
      <w:r>
        <w:rPr>
          <w:rStyle w:val="785"/>
          <w:rFonts w:hint="eastAsia" w:ascii="宋体" w:hAnsi="宋体" w:cs="宋体"/>
          <w:b w:val="0"/>
          <w:bCs w:val="0"/>
          <w:color w:val="auto"/>
          <w:sz w:val="24"/>
          <w:highlight w:val="none"/>
          <w:lang w:val="en-US" w:eastAsia="zh-CN"/>
        </w:rPr>
        <w:t xml:space="preserve">4. 持证</w:t>
      </w:r>
      <w:r>
        <w:rPr>
          <w:rStyle w:val="785"/>
          <w:rFonts w:hint="eastAsia" w:ascii="宋体" w:hAnsi="宋体" w:eastAsia="宋体" w:cs="宋体"/>
          <w:b w:val="0"/>
          <w:bCs w:val="0"/>
          <w:color w:val="auto"/>
          <w:sz w:val="24"/>
          <w:highlight w:val="none"/>
        </w:rPr>
        <w:t xml:space="preserve">残疾</w:t>
      </w:r>
      <w:r>
        <w:rPr>
          <w:rStyle w:val="785"/>
          <w:rFonts w:hint="eastAsia" w:ascii="宋体" w:hAnsi="宋体" w:cs="宋体"/>
          <w:b w:val="0"/>
          <w:bCs w:val="0"/>
          <w:color w:val="auto"/>
          <w:sz w:val="24"/>
          <w:highlight w:val="none"/>
          <w:lang w:val="en-US" w:eastAsia="zh-CN"/>
        </w:rPr>
        <w:t xml:space="preserve">人投保时间认定以残疾人证发证日期为准。</w:t>
      </w:r>
      <w:r/>
    </w:p>
    <w:p>
      <w:pPr>
        <w:pStyle w:val="1555"/>
        <w:ind w:firstLine="480"/>
        <w:spacing w:line="500" w:lineRule="exact"/>
        <w:rPr>
          <w:rStyle w:val="785"/>
          <w:rFonts w:hint="default" w:ascii="宋体" w:hAnsi="宋体" w:cs="宋体"/>
          <w:b w:val="0"/>
          <w:bCs w:val="0"/>
          <w:color w:val="auto"/>
          <w:sz w:val="24"/>
          <w:highlight w:val="none"/>
          <w:lang w:val="en-US" w:eastAsia="zh-CN"/>
        </w:rPr>
      </w:pPr>
      <w:r>
        <w:rPr>
          <w:rStyle w:val="785"/>
          <w:rFonts w:hint="eastAsia" w:ascii="宋体" w:hAnsi="宋体" w:cs="宋体"/>
          <w:b w:val="0"/>
          <w:bCs w:val="0"/>
          <w:color w:val="auto"/>
          <w:sz w:val="24"/>
          <w:highlight w:val="none"/>
          <w:lang w:val="en-US" w:eastAsia="zh-CN"/>
        </w:rPr>
        <w:t xml:space="preserve">5. 每月新增投保人员名单，由残联次月10日前向各方</w:t>
      </w:r>
      <w:r>
        <w:rPr>
          <w:rStyle w:val="785"/>
          <w:rFonts w:hint="eastAsia" w:asciiTheme="minorEastAsia" w:hAnsiTheme="minorEastAsia" w:eastAsiaTheme="minorEastAsia" w:cstheme="minorEastAsia"/>
          <w:b w:val="0"/>
          <w:bCs w:val="0"/>
          <w:color w:val="auto"/>
          <w:sz w:val="24"/>
          <w:szCs w:val="24"/>
          <w:highlight w:val="none"/>
        </w:rPr>
        <w:t xml:space="preserve">承保人</w:t>
      </w:r>
      <w:r>
        <w:rPr>
          <w:rStyle w:val="785"/>
          <w:rFonts w:hint="eastAsia" w:ascii="宋体" w:hAnsi="宋体" w:cs="宋体"/>
          <w:b w:val="0"/>
          <w:bCs w:val="0"/>
          <w:color w:val="auto"/>
          <w:sz w:val="24"/>
          <w:highlight w:val="none"/>
          <w:lang w:val="en-US" w:eastAsia="zh-CN"/>
        </w:rPr>
        <w:t xml:space="preserve">提供。</w:t>
      </w:r>
      <w:r/>
    </w:p>
    <w:p>
      <w:pPr>
        <w:pStyle w:val="1555"/>
        <w:ind w:firstLine="480"/>
        <w:spacing w:line="500" w:lineRule="exact"/>
        <w:rPr>
          <w:rStyle w:val="785"/>
          <w:rFonts w:hint="eastAsia" w:ascii="宋体" w:hAnsi="宋体" w:eastAsia="宋体" w:cs="宋体"/>
          <w:b w:val="0"/>
          <w:bCs w:val="0"/>
          <w:color w:val="auto"/>
          <w:highlight w:val="none"/>
        </w:rPr>
      </w:pPr>
      <w:r>
        <w:rPr>
          <w:rStyle w:val="785"/>
          <w:rFonts w:hint="eastAsia" w:ascii="宋体" w:hAnsi="宋体" w:eastAsia="宋体" w:cs="宋体"/>
          <w:b w:val="0"/>
          <w:bCs w:val="0"/>
          <w:color w:val="auto"/>
          <w:sz w:val="24"/>
          <w:highlight w:val="none"/>
        </w:rPr>
        <w:t xml:space="preserve">注：1. 本项目服务区域（包括评审标准中所指）为</w:t>
      </w:r>
      <w:r>
        <w:rPr>
          <w:rStyle w:val="785"/>
          <w:rFonts w:hint="eastAsia" w:ascii="宋体" w:hAnsi="宋体" w:eastAsia="宋体" w:cs="宋体"/>
          <w:b w:val="0"/>
          <w:bCs w:val="0"/>
          <w:color w:val="auto"/>
          <w:sz w:val="24"/>
          <w:highlight w:val="none"/>
          <w:lang w:eastAsia="zh-CN"/>
        </w:rPr>
        <w:t xml:space="preserve">泗洪县</w:t>
      </w:r>
      <w:r>
        <w:rPr>
          <w:rStyle w:val="785"/>
          <w:rFonts w:hint="eastAsia" w:ascii="宋体" w:hAnsi="宋体" w:eastAsia="宋体" w:cs="宋体"/>
          <w:b w:val="0"/>
          <w:bCs w:val="0"/>
          <w:color w:val="auto"/>
          <w:sz w:val="24"/>
          <w:highlight w:val="none"/>
        </w:rPr>
        <w:t xml:space="preserve">。</w:t>
      </w:r>
      <w:r/>
    </w:p>
    <w:p>
      <w:pPr>
        <w:pStyle w:val="1473"/>
        <w:rPr>
          <w:rStyle w:val="785"/>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1537"/>
        <w:rPr>
          <w:rStyle w:val="785"/>
          <w:rFonts w:hint="eastAsia" w:ascii="宋体" w:hAnsi="宋体" w:eastAsia="宋体" w:cs="宋体"/>
          <w:b w:val="0"/>
          <w:bCs w:val="0"/>
          <w:color w:val="auto"/>
          <w:highlight w:val="none"/>
        </w:rPr>
      </w:pPr>
      <w:r>
        <w:rPr>
          <w:rStyle w:val="785"/>
          <w:rFonts w:hint="eastAsia" w:ascii="宋体" w:hAnsi="宋体" w:eastAsia="宋体" w:cs="宋体"/>
          <w:b w:val="0"/>
          <w:bCs w:val="0"/>
          <w:color w:val="auto"/>
          <w:highlight w:val="none"/>
        </w:rPr>
        <w:t xml:space="preserve">附：绩效评价方案</w:t>
      </w:r>
      <w:r/>
    </w:p>
    <w:tbl>
      <w:tblPr>
        <w:tblStyle w:val="786"/>
        <w:tblW w:w="89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8"/>
        <w:gridCol w:w="4264"/>
        <w:gridCol w:w="3557"/>
      </w:tblGrid>
      <w:tr>
        <w:trPr>
          <w:jc w:val="center"/>
          <w:trHeight w:val="391"/>
        </w:trPr>
        <w:tc>
          <w:tcPr>
            <w:tcW w:w="1138" w:type="dxa"/>
            <w:vAlign w:val="top"/>
            <w:textDirection w:val="lrTb"/>
            <w:noWrap w:val="false"/>
          </w:tcPr>
          <w:p>
            <w:pPr>
              <w:pStyle w:val="1537"/>
              <w:jc w:val="center"/>
              <w:widowControl w:val="off"/>
              <w:rPr>
                <w:rStyle w:val="785"/>
                <w:rFonts w:hint="eastAsia" w:ascii="宋体" w:hAnsi="宋体" w:eastAsia="宋体" w:cs="宋体"/>
                <w:b w:val="0"/>
                <w:bCs w:val="0"/>
                <w:color w:val="auto"/>
                <w:sz w:val="21"/>
                <w:szCs w:val="22"/>
                <w:highlight w:val="none"/>
                <w:lang w:val="en-US" w:eastAsia="zh-CN" w:bidi="ar-SA"/>
              </w:rPr>
            </w:pPr>
            <w:r>
              <w:rPr>
                <w:rStyle w:val="785"/>
                <w:rFonts w:hint="eastAsia" w:ascii="宋体" w:hAnsi="宋体" w:eastAsia="宋体" w:cs="宋体"/>
                <w:b w:val="0"/>
                <w:bCs w:val="0"/>
                <w:color w:val="auto"/>
                <w:sz w:val="21"/>
                <w:szCs w:val="22"/>
                <w:highlight w:val="none"/>
                <w:lang w:val="en-US" w:eastAsia="zh-CN" w:bidi="ar-SA"/>
              </w:rPr>
              <w:t xml:space="preserve">考核项目</w:t>
            </w:r>
            <w:r/>
          </w:p>
        </w:tc>
        <w:tc>
          <w:tcPr>
            <w:tcW w:w="4264" w:type="dxa"/>
            <w:vAlign w:val="top"/>
            <w:textDirection w:val="lrTb"/>
            <w:noWrap w:val="false"/>
          </w:tcPr>
          <w:p>
            <w:pPr>
              <w:pStyle w:val="1537"/>
              <w:jc w:val="center"/>
              <w:widowControl w:val="off"/>
              <w:rPr>
                <w:rStyle w:val="785"/>
                <w:rFonts w:hint="eastAsia" w:ascii="宋体" w:hAnsi="宋体" w:eastAsia="宋体" w:cs="宋体"/>
                <w:b w:val="0"/>
                <w:bCs w:val="0"/>
                <w:color w:val="auto"/>
                <w:sz w:val="21"/>
                <w:szCs w:val="22"/>
                <w:highlight w:val="none"/>
                <w:lang w:val="en-US" w:eastAsia="zh-CN" w:bidi="ar-SA"/>
              </w:rPr>
            </w:pPr>
            <w:r>
              <w:rPr>
                <w:rStyle w:val="785"/>
                <w:rFonts w:hint="eastAsia" w:ascii="宋体" w:hAnsi="宋体" w:eastAsia="宋体" w:cs="宋体"/>
                <w:b w:val="0"/>
                <w:bCs w:val="0"/>
                <w:color w:val="auto"/>
                <w:sz w:val="21"/>
                <w:szCs w:val="22"/>
                <w:highlight w:val="none"/>
                <w:lang w:val="en-US" w:eastAsia="zh-CN" w:bidi="ar-SA"/>
              </w:rPr>
              <w:t xml:space="preserve">考核内容</w:t>
            </w:r>
            <w:r/>
          </w:p>
        </w:tc>
        <w:tc>
          <w:tcPr>
            <w:tcW w:w="3557" w:type="dxa"/>
            <w:vAlign w:val="top"/>
            <w:textDirection w:val="lrTb"/>
            <w:noWrap w:val="false"/>
          </w:tcPr>
          <w:p>
            <w:pPr>
              <w:pStyle w:val="1537"/>
              <w:jc w:val="center"/>
              <w:widowControl w:val="off"/>
              <w:rPr>
                <w:rStyle w:val="785"/>
                <w:rFonts w:hint="eastAsia" w:ascii="宋体" w:hAnsi="宋体" w:eastAsia="宋体" w:cs="宋体"/>
                <w:b w:val="0"/>
                <w:bCs w:val="0"/>
                <w:color w:val="auto"/>
                <w:sz w:val="21"/>
                <w:szCs w:val="22"/>
                <w:highlight w:val="none"/>
                <w:lang w:val="en-US" w:eastAsia="zh-CN" w:bidi="ar-SA"/>
              </w:rPr>
            </w:pPr>
            <w:r>
              <w:rPr>
                <w:rStyle w:val="785"/>
                <w:rFonts w:hint="eastAsia" w:ascii="宋体" w:hAnsi="宋体" w:eastAsia="宋体" w:cs="宋体"/>
                <w:b w:val="0"/>
                <w:bCs w:val="0"/>
                <w:color w:val="auto"/>
                <w:sz w:val="21"/>
                <w:szCs w:val="22"/>
                <w:highlight w:val="none"/>
                <w:lang w:val="en-US" w:eastAsia="zh-CN" w:bidi="ar-SA"/>
              </w:rPr>
              <w:t xml:space="preserve">考核标准</w:t>
            </w:r>
            <w:r/>
          </w:p>
        </w:tc>
      </w:tr>
      <w:tr>
        <w:trPr>
          <w:jc w:val="center"/>
          <w:trHeight w:val="391"/>
        </w:trPr>
        <w:tc>
          <w:tcPr>
            <w:gridSpan w:val="3"/>
            <w:tcW w:w="8959" w:type="dxa"/>
            <w:vAlign w:val="top"/>
            <w:textDirection w:val="lrTb"/>
            <w:noWrap w:val="false"/>
          </w:tcPr>
          <w:p>
            <w:pPr>
              <w:pStyle w:val="1537"/>
              <w:jc w:val="left"/>
              <w:widowControl w:val="off"/>
              <w:rPr>
                <w:rStyle w:val="785"/>
                <w:rFonts w:hint="eastAsia" w:ascii="宋体" w:hAnsi="宋体" w:eastAsia="宋体" w:cs="宋体"/>
                <w:b w:val="0"/>
                <w:bCs w:val="0"/>
                <w:color w:val="auto"/>
                <w:sz w:val="21"/>
                <w:szCs w:val="22"/>
                <w:highlight w:val="none"/>
                <w:lang w:val="en-US" w:eastAsia="zh-CN" w:bidi="ar-SA"/>
              </w:rPr>
            </w:pPr>
            <w:r>
              <w:rPr>
                <w:rStyle w:val="785"/>
                <w:rFonts w:hint="eastAsia" w:ascii="宋体" w:hAnsi="宋体" w:eastAsia="宋体" w:cs="宋体"/>
                <w:b w:val="0"/>
                <w:bCs w:val="0"/>
                <w:color w:val="auto"/>
                <w:sz w:val="21"/>
                <w:szCs w:val="22"/>
                <w:highlight w:val="none"/>
                <w:lang w:val="en-US" w:eastAsia="zh-CN" w:bidi="ar-SA"/>
              </w:rPr>
              <w:t xml:space="preserve">一、进度服务响应</w:t>
            </w:r>
            <w:r/>
          </w:p>
        </w:tc>
      </w:tr>
      <w:tr>
        <w:trPr>
          <w:jc w:val="center"/>
          <w:trHeight w:val="2086"/>
        </w:trPr>
        <w:tc>
          <w:tcPr>
            <w:tcW w:w="1138" w:type="dxa"/>
            <w:vAlign w:val="center"/>
            <w:textDirection w:val="lrTb"/>
            <w:noWrap w:val="false"/>
          </w:tcPr>
          <w:p>
            <w:pPr>
              <w:pStyle w:val="1537"/>
              <w:jc w:val="center"/>
              <w:widowControl w:val="off"/>
              <w:rPr>
                <w:rStyle w:val="785"/>
                <w:rFonts w:hint="eastAsia" w:ascii="宋体" w:hAnsi="宋体" w:eastAsia="宋体" w:cs="宋体"/>
                <w:b w:val="0"/>
                <w:bCs w:val="0"/>
                <w:color w:val="auto"/>
                <w:sz w:val="21"/>
                <w:szCs w:val="22"/>
                <w:highlight w:val="none"/>
                <w:lang w:val="en-US" w:eastAsia="zh-CN" w:bidi="ar-SA"/>
              </w:rPr>
            </w:pPr>
            <w:r>
              <w:rPr>
                <w:rStyle w:val="785"/>
                <w:rFonts w:hint="eastAsia" w:ascii="宋体" w:hAnsi="宋体" w:eastAsia="宋体" w:cs="宋体"/>
                <w:b w:val="0"/>
                <w:bCs w:val="0"/>
                <w:color w:val="auto"/>
                <w:sz w:val="21"/>
                <w:szCs w:val="22"/>
                <w:highlight w:val="none"/>
                <w:lang w:val="en-US" w:eastAsia="zh-CN" w:bidi="ar-SA"/>
              </w:rPr>
              <w:t xml:space="preserve">服务响应</w:t>
            </w:r>
            <w:r/>
          </w:p>
        </w:tc>
        <w:tc>
          <w:tcPr>
            <w:tcW w:w="4264" w:type="dxa"/>
            <w:vAlign w:val="center"/>
            <w:textDirection w:val="lrTb"/>
            <w:noWrap w:val="false"/>
          </w:tcPr>
          <w:p>
            <w:pPr>
              <w:pStyle w:val="1537"/>
              <w:numPr>
                <w:ilvl w:val="0"/>
                <w:numId w:val="7"/>
              </w:numPr>
              <w:jc w:val="left"/>
              <w:widowControl w:val="off"/>
              <w:rPr>
                <w:rStyle w:val="785"/>
                <w:rFonts w:hint="eastAsia" w:ascii="宋体" w:hAnsi="宋体" w:eastAsia="宋体" w:cs="宋体"/>
                <w:b w:val="0"/>
                <w:bCs w:val="0"/>
                <w:color w:val="auto"/>
                <w:sz w:val="21"/>
                <w:szCs w:val="22"/>
                <w:highlight w:val="none"/>
                <w:lang w:val="en-US" w:eastAsia="zh-CN" w:bidi="ar-SA"/>
              </w:rPr>
            </w:pPr>
            <w:r>
              <w:rPr>
                <w:rStyle w:val="785"/>
                <w:rFonts w:hint="eastAsia" w:ascii="宋体" w:hAnsi="宋体" w:eastAsia="宋体" w:cs="宋体"/>
                <w:b w:val="0"/>
                <w:bCs w:val="0"/>
                <w:color w:val="auto"/>
                <w:sz w:val="21"/>
                <w:szCs w:val="22"/>
                <w:highlight w:val="none"/>
                <w:lang w:val="en-US" w:eastAsia="zh-CN" w:bidi="ar-SA"/>
              </w:rPr>
              <w:t xml:space="preserve">制定负责人，确定信息沟通渠道，提供沟通平台，保证服务热线24小时畅通。</w:t>
            </w:r>
            <w:r/>
          </w:p>
          <w:p>
            <w:pPr>
              <w:pStyle w:val="1537"/>
              <w:numPr>
                <w:ilvl w:val="0"/>
                <w:numId w:val="7"/>
              </w:numPr>
              <w:jc w:val="left"/>
              <w:widowControl w:val="off"/>
              <w:rPr>
                <w:rStyle w:val="785"/>
                <w:rFonts w:hint="eastAsia" w:ascii="宋体" w:hAnsi="宋体" w:eastAsia="宋体" w:cs="宋体"/>
                <w:b w:val="0"/>
                <w:bCs w:val="0"/>
                <w:color w:val="auto"/>
                <w:sz w:val="21"/>
                <w:szCs w:val="22"/>
                <w:highlight w:val="none"/>
                <w:lang w:val="en-US" w:eastAsia="zh-CN" w:bidi="ar-SA"/>
              </w:rPr>
            </w:pPr>
            <w:r>
              <w:rPr>
                <w:rStyle w:val="785"/>
                <w:rFonts w:hint="eastAsia" w:ascii="宋体" w:hAnsi="宋体" w:eastAsia="宋体" w:cs="宋体"/>
                <w:b w:val="0"/>
                <w:bCs w:val="0"/>
                <w:color w:val="auto"/>
                <w:sz w:val="21"/>
                <w:szCs w:val="22"/>
                <w:highlight w:val="none"/>
                <w:lang w:val="en-US" w:eastAsia="zh-CN" w:bidi="ar-SA"/>
              </w:rPr>
              <w:t xml:space="preserve">宣传服务：让投保人家喻户晓，理赔方式宣传到户、到人并将保单送至被保人，能够详细地告知保险范围、赔偿限额、报案方式及监督联系电话。</w:t>
            </w:r>
            <w:r/>
          </w:p>
        </w:tc>
        <w:tc>
          <w:tcPr>
            <w:tcW w:w="3557" w:type="dxa"/>
            <w:vAlign w:val="center"/>
            <w:textDirection w:val="lrTb"/>
            <w:noWrap w:val="false"/>
          </w:tcPr>
          <w:p>
            <w:pPr>
              <w:pStyle w:val="1537"/>
              <w:numPr>
                <w:ilvl w:val="0"/>
                <w:numId w:val="8"/>
              </w:numPr>
              <w:jc w:val="both"/>
              <w:widowControl w:val="off"/>
              <w:rPr>
                <w:rStyle w:val="785"/>
                <w:rFonts w:hint="eastAsia" w:ascii="宋体" w:hAnsi="宋体" w:eastAsia="宋体" w:cs="宋体"/>
                <w:b w:val="0"/>
                <w:bCs w:val="0"/>
                <w:color w:val="auto"/>
                <w:sz w:val="21"/>
                <w:szCs w:val="22"/>
                <w:highlight w:val="none"/>
                <w:lang w:val="en-US" w:eastAsia="zh-CN" w:bidi="ar-SA"/>
              </w:rPr>
            </w:pPr>
            <w:r>
              <w:rPr>
                <w:rStyle w:val="785"/>
                <w:rFonts w:hint="eastAsia" w:ascii="宋体" w:hAnsi="宋体" w:eastAsia="宋体" w:cs="宋体"/>
                <w:b w:val="0"/>
                <w:bCs w:val="0"/>
                <w:color w:val="auto"/>
                <w:sz w:val="21"/>
                <w:szCs w:val="22"/>
                <w:highlight w:val="none"/>
                <w:lang w:val="en-US" w:eastAsia="zh-CN" w:bidi="ar-SA"/>
              </w:rPr>
              <w:t xml:space="preserve">在收到被保险人咨询后于1-2个工作日内响应。响应不及时，每次扣除1分。</w:t>
            </w:r>
            <w:r/>
          </w:p>
          <w:p>
            <w:pPr>
              <w:pStyle w:val="1537"/>
              <w:numPr>
                <w:ilvl w:val="0"/>
                <w:numId w:val="8"/>
              </w:numPr>
              <w:jc w:val="both"/>
              <w:widowControl w:val="off"/>
              <w:rPr>
                <w:rStyle w:val="785"/>
                <w:rFonts w:hint="eastAsia" w:ascii="宋体" w:hAnsi="宋体" w:eastAsia="宋体" w:cs="宋体"/>
                <w:b w:val="0"/>
                <w:bCs w:val="0"/>
                <w:color w:val="auto"/>
                <w:sz w:val="21"/>
                <w:szCs w:val="22"/>
                <w:highlight w:val="none"/>
                <w:lang w:val="en-US" w:eastAsia="zh-CN" w:bidi="ar-SA"/>
              </w:rPr>
            </w:pPr>
            <w:r>
              <w:rPr>
                <w:rStyle w:val="785"/>
                <w:rFonts w:hint="eastAsia" w:ascii="宋体" w:hAnsi="宋体" w:eastAsia="宋体" w:cs="宋体"/>
                <w:b w:val="0"/>
                <w:bCs w:val="0"/>
                <w:color w:val="auto"/>
                <w:sz w:val="21"/>
                <w:szCs w:val="22"/>
                <w:highlight w:val="none"/>
                <w:lang w:val="en-US" w:eastAsia="zh-CN" w:bidi="ar-SA"/>
              </w:rPr>
              <w:t xml:space="preserve">宣传服务不到位或者承保机构工作人员工作期间服务态度不好，导致上访投诉的，每次扣2分，上访投诉的造成社会不良影响的扣5分。</w:t>
            </w:r>
            <w:r/>
          </w:p>
        </w:tc>
      </w:tr>
      <w:tr>
        <w:trPr>
          <w:jc w:val="center"/>
          <w:trHeight w:val="1696"/>
        </w:trPr>
        <w:tc>
          <w:tcPr>
            <w:tcW w:w="1138" w:type="dxa"/>
            <w:vAlign w:val="center"/>
            <w:textDirection w:val="lrTb"/>
            <w:noWrap w:val="false"/>
          </w:tcPr>
          <w:p>
            <w:pPr>
              <w:pStyle w:val="1537"/>
              <w:jc w:val="center"/>
              <w:widowControl w:val="off"/>
              <w:rPr>
                <w:rStyle w:val="785"/>
                <w:rFonts w:hint="eastAsia" w:ascii="宋体" w:hAnsi="宋体" w:eastAsia="宋体" w:cs="宋体"/>
                <w:b w:val="0"/>
                <w:bCs w:val="0"/>
                <w:color w:val="auto"/>
                <w:sz w:val="21"/>
                <w:szCs w:val="22"/>
                <w:highlight w:val="none"/>
                <w:lang w:val="en-US" w:eastAsia="zh-CN" w:bidi="ar-SA"/>
              </w:rPr>
            </w:pPr>
            <w:r>
              <w:rPr>
                <w:rStyle w:val="785"/>
                <w:rFonts w:hint="eastAsia" w:ascii="宋体" w:hAnsi="宋体" w:eastAsia="宋体" w:cs="宋体"/>
                <w:b w:val="0"/>
                <w:bCs w:val="0"/>
                <w:color w:val="auto"/>
                <w:sz w:val="21"/>
                <w:szCs w:val="22"/>
                <w:highlight w:val="none"/>
                <w:lang w:val="en-US" w:eastAsia="zh-CN" w:bidi="ar-SA"/>
              </w:rPr>
              <w:t xml:space="preserve">进度保证</w:t>
            </w:r>
            <w:r/>
          </w:p>
        </w:tc>
        <w:tc>
          <w:tcPr>
            <w:tcW w:w="4264" w:type="dxa"/>
            <w:vAlign w:val="center"/>
            <w:textDirection w:val="lrTb"/>
            <w:noWrap w:val="false"/>
          </w:tcPr>
          <w:p>
            <w:pPr>
              <w:pStyle w:val="1537"/>
              <w:jc w:val="left"/>
              <w:widowControl w:val="off"/>
              <w:rPr>
                <w:rStyle w:val="785"/>
                <w:rFonts w:hint="eastAsia" w:ascii="宋体" w:hAnsi="宋体" w:eastAsia="宋体" w:cs="宋体"/>
                <w:b w:val="0"/>
                <w:bCs w:val="0"/>
                <w:color w:val="auto"/>
                <w:sz w:val="23"/>
                <w:szCs w:val="23"/>
                <w:highlight w:val="none"/>
                <w:lang w:val="en-US" w:eastAsia="zh-CN" w:bidi="ar-SA"/>
              </w:rPr>
            </w:pPr>
            <w:r>
              <w:rPr>
                <w:rStyle w:val="785"/>
                <w:rFonts w:hint="eastAsia" w:ascii="宋体" w:hAnsi="宋体" w:eastAsia="宋体" w:cs="宋体"/>
                <w:b w:val="0"/>
                <w:bCs w:val="0"/>
                <w:color w:val="auto"/>
                <w:sz w:val="21"/>
                <w:szCs w:val="22"/>
                <w:highlight w:val="none"/>
                <w:lang w:val="en-US" w:eastAsia="zh-CN" w:bidi="ar-SA"/>
              </w:rPr>
              <w:t xml:space="preserve">中标人应与采购人紧密配合，按照合同进度计划完成工作。</w:t>
            </w:r>
            <w:r/>
          </w:p>
        </w:tc>
        <w:tc>
          <w:tcPr>
            <w:tcW w:w="3557" w:type="dxa"/>
            <w:vAlign w:val="center"/>
            <w:textDirection w:val="lrTb"/>
            <w:noWrap w:val="false"/>
          </w:tcPr>
          <w:p>
            <w:pPr>
              <w:pStyle w:val="1537"/>
              <w:jc w:val="both"/>
              <w:widowControl w:val="off"/>
              <w:rPr>
                <w:rStyle w:val="785"/>
                <w:rFonts w:hint="eastAsia" w:ascii="宋体" w:hAnsi="宋体" w:eastAsia="宋体" w:cs="宋体"/>
                <w:b w:val="0"/>
                <w:bCs w:val="0"/>
                <w:color w:val="auto"/>
                <w:sz w:val="21"/>
                <w:szCs w:val="22"/>
                <w:highlight w:val="none"/>
                <w:lang w:val="en-US" w:eastAsia="zh-CN" w:bidi="ar-SA"/>
              </w:rPr>
            </w:pPr>
            <w:r>
              <w:rPr>
                <w:rStyle w:val="785"/>
                <w:rFonts w:hint="eastAsia" w:ascii="宋体" w:hAnsi="宋体" w:eastAsia="宋体" w:cs="宋体"/>
                <w:b w:val="0"/>
                <w:bCs w:val="0"/>
                <w:color w:val="auto"/>
                <w:sz w:val="21"/>
                <w:szCs w:val="22"/>
                <w:highlight w:val="none"/>
                <w:lang w:val="en-US" w:eastAsia="zh-CN" w:bidi="ar-SA"/>
              </w:rPr>
              <w:t xml:space="preserve">由于中标人原因，未能按合同进度计划完成工作，或采购人认为中标人工作进度不能满足合同服务期要求的，中标人应采取措施加快进度，每推迟1天，扣除1分。</w:t>
            </w:r>
            <w:r/>
          </w:p>
        </w:tc>
      </w:tr>
      <w:tr>
        <w:trPr>
          <w:jc w:val="center"/>
          <w:trHeight w:val="391"/>
        </w:trPr>
        <w:tc>
          <w:tcPr>
            <w:gridSpan w:val="3"/>
            <w:tcW w:w="8959" w:type="dxa"/>
            <w:vAlign w:val="top"/>
            <w:textDirection w:val="lrTb"/>
            <w:noWrap w:val="false"/>
          </w:tcPr>
          <w:p>
            <w:pPr>
              <w:pStyle w:val="1537"/>
              <w:jc w:val="both"/>
              <w:widowControl w:val="off"/>
              <w:rPr>
                <w:rStyle w:val="785"/>
                <w:rFonts w:hint="eastAsia" w:ascii="宋体" w:hAnsi="宋体" w:eastAsia="宋体" w:cs="宋体"/>
                <w:b w:val="0"/>
                <w:bCs w:val="0"/>
                <w:color w:val="auto"/>
                <w:sz w:val="21"/>
                <w:szCs w:val="22"/>
                <w:highlight w:val="none"/>
                <w:lang w:val="en-US" w:eastAsia="zh-CN" w:bidi="ar-SA"/>
              </w:rPr>
            </w:pPr>
            <w:r>
              <w:rPr>
                <w:rStyle w:val="785"/>
                <w:rFonts w:hint="eastAsia" w:ascii="宋体" w:hAnsi="宋体" w:eastAsia="宋体" w:cs="宋体"/>
                <w:b w:val="0"/>
                <w:bCs w:val="0"/>
                <w:color w:val="auto"/>
                <w:sz w:val="21"/>
                <w:szCs w:val="22"/>
                <w:highlight w:val="none"/>
                <w:lang w:val="en-US" w:eastAsia="zh-CN" w:bidi="ar-SA"/>
              </w:rPr>
              <w:t xml:space="preserve">二、评价标准与等级</w:t>
            </w:r>
            <w:r/>
          </w:p>
        </w:tc>
      </w:tr>
      <w:tr>
        <w:trPr>
          <w:jc w:val="center"/>
          <w:trHeight w:val="1530"/>
        </w:trPr>
        <w:tc>
          <w:tcPr>
            <w:tcW w:w="1138" w:type="dxa"/>
            <w:vAlign w:val="center"/>
            <w:textDirection w:val="lrTb"/>
            <w:noWrap w:val="false"/>
          </w:tcPr>
          <w:p>
            <w:pPr>
              <w:pStyle w:val="1537"/>
              <w:jc w:val="center"/>
              <w:widowControl w:val="off"/>
              <w:rPr>
                <w:rStyle w:val="785"/>
                <w:rFonts w:hint="eastAsia" w:ascii="宋体" w:hAnsi="宋体" w:eastAsia="宋体" w:cs="宋体"/>
                <w:b w:val="0"/>
                <w:bCs w:val="0"/>
                <w:color w:val="auto"/>
                <w:sz w:val="21"/>
                <w:szCs w:val="22"/>
                <w:highlight w:val="none"/>
                <w:lang w:val="en-US" w:eastAsia="zh-CN" w:bidi="ar-SA"/>
              </w:rPr>
            </w:pPr>
            <w:r>
              <w:rPr>
                <w:rStyle w:val="785"/>
                <w:rFonts w:hint="eastAsia" w:ascii="宋体" w:hAnsi="宋体" w:eastAsia="宋体" w:cs="宋体"/>
                <w:b w:val="0"/>
                <w:bCs w:val="0"/>
                <w:color w:val="auto"/>
                <w:sz w:val="21"/>
                <w:szCs w:val="22"/>
                <w:highlight w:val="none"/>
                <w:lang w:val="en-US" w:eastAsia="zh-CN" w:bidi="ar-SA"/>
              </w:rPr>
              <w:t xml:space="preserve">评价等级与标准</w:t>
            </w:r>
            <w:r/>
          </w:p>
        </w:tc>
        <w:tc>
          <w:tcPr>
            <w:gridSpan w:val="2"/>
            <w:tcW w:w="7821" w:type="dxa"/>
            <w:vAlign w:val="top"/>
            <w:textDirection w:val="lrTb"/>
            <w:noWrap w:val="false"/>
          </w:tcPr>
          <w:p>
            <w:pPr>
              <w:pStyle w:val="1537"/>
              <w:jc w:val="both"/>
              <w:widowControl w:val="off"/>
              <w:rPr>
                <w:rStyle w:val="785"/>
                <w:rFonts w:hint="eastAsia" w:ascii="宋体" w:hAnsi="宋体" w:eastAsia="宋体" w:cs="宋体"/>
                <w:b w:val="0"/>
                <w:bCs w:val="0"/>
                <w:color w:val="auto"/>
                <w:sz w:val="21"/>
                <w:szCs w:val="22"/>
                <w:highlight w:val="none"/>
                <w:lang w:val="en-US" w:eastAsia="zh-CN" w:bidi="ar-SA"/>
              </w:rPr>
            </w:pPr>
            <w:r>
              <w:rPr>
                <w:rStyle w:val="785"/>
                <w:rFonts w:hint="eastAsia" w:ascii="宋体" w:hAnsi="宋体" w:eastAsia="宋体" w:cs="宋体"/>
                <w:b w:val="0"/>
                <w:bCs w:val="0"/>
                <w:color w:val="auto"/>
                <w:sz w:val="21"/>
                <w:szCs w:val="22"/>
                <w:highlight w:val="none"/>
                <w:lang w:val="en-US" w:eastAsia="zh-CN" w:bidi="ar-SA"/>
              </w:rPr>
              <w:t xml:space="preserve">分为优、合格、不合格三个等级。</w:t>
            </w:r>
            <w:r/>
          </w:p>
          <w:p>
            <w:pPr>
              <w:pStyle w:val="1537"/>
              <w:jc w:val="both"/>
              <w:widowControl w:val="off"/>
              <w:rPr>
                <w:rStyle w:val="785"/>
                <w:rFonts w:hint="eastAsia" w:ascii="宋体" w:hAnsi="宋体" w:eastAsia="宋体" w:cs="宋体"/>
                <w:b w:val="0"/>
                <w:bCs w:val="0"/>
                <w:color w:val="auto"/>
                <w:sz w:val="21"/>
                <w:szCs w:val="22"/>
                <w:highlight w:val="none"/>
                <w:lang w:val="en-US" w:eastAsia="zh-CN" w:bidi="ar-SA"/>
              </w:rPr>
            </w:pPr>
            <w:r>
              <w:rPr>
                <w:rStyle w:val="785"/>
                <w:rFonts w:hint="eastAsia" w:ascii="宋体" w:hAnsi="宋体" w:eastAsia="宋体" w:cs="宋体"/>
                <w:b w:val="0"/>
                <w:bCs w:val="0"/>
                <w:color w:val="auto"/>
                <w:sz w:val="21"/>
                <w:szCs w:val="22"/>
                <w:highlight w:val="none"/>
                <w:lang w:val="en-US" w:eastAsia="zh-CN" w:bidi="ar-SA"/>
              </w:rPr>
              <w:t xml:space="preserve">得分70分以下为不合格；90分以上为优。</w:t>
            </w:r>
            <w:r/>
          </w:p>
          <w:p>
            <w:pPr>
              <w:pStyle w:val="1537"/>
              <w:jc w:val="both"/>
              <w:widowControl w:val="off"/>
              <w:rPr>
                <w:rStyle w:val="785"/>
                <w:rFonts w:hint="eastAsia" w:ascii="宋体" w:hAnsi="宋体" w:eastAsia="宋体" w:cs="宋体"/>
                <w:b w:val="0"/>
                <w:bCs w:val="0"/>
                <w:color w:val="auto"/>
                <w:sz w:val="21"/>
                <w:szCs w:val="22"/>
                <w:highlight w:val="none"/>
                <w:lang w:val="en-US" w:eastAsia="zh-CN" w:bidi="ar-SA"/>
              </w:rPr>
            </w:pPr>
            <w:r>
              <w:rPr>
                <w:rStyle w:val="785"/>
                <w:rFonts w:hint="eastAsia" w:ascii="宋体" w:hAnsi="宋体" w:eastAsia="宋体" w:cs="宋体"/>
                <w:b w:val="0"/>
                <w:bCs w:val="0"/>
                <w:color w:val="auto"/>
                <w:sz w:val="21"/>
                <w:szCs w:val="22"/>
                <w:highlight w:val="none"/>
                <w:lang w:val="en-US" w:eastAsia="zh-CN" w:bidi="ar-SA"/>
              </w:rPr>
              <w:t xml:space="preserve">年度考核成绩在70分以下的，采购人有权单方面终止下一年度的服务合同，中标人应无条件服从，且中标承保人数比例分摊由采购人调整到考核优秀的承保机构中。</w:t>
            </w:r>
            <w:r/>
          </w:p>
        </w:tc>
      </w:tr>
      <w:tr>
        <w:trPr>
          <w:jc w:val="center"/>
          <w:trHeight w:val="795"/>
        </w:trPr>
        <w:tc>
          <w:tcPr>
            <w:tcW w:w="1138" w:type="dxa"/>
            <w:vAlign w:val="center"/>
            <w:textDirection w:val="lrTb"/>
            <w:noWrap w:val="false"/>
          </w:tcPr>
          <w:p>
            <w:pPr>
              <w:pStyle w:val="1537"/>
              <w:jc w:val="center"/>
              <w:widowControl w:val="off"/>
              <w:rPr>
                <w:rStyle w:val="785"/>
                <w:rFonts w:hint="eastAsia" w:ascii="宋体" w:hAnsi="宋体" w:eastAsia="宋体" w:cs="宋体"/>
                <w:b w:val="0"/>
                <w:bCs w:val="0"/>
                <w:color w:val="auto"/>
                <w:sz w:val="21"/>
                <w:szCs w:val="22"/>
                <w:highlight w:val="none"/>
                <w:lang w:val="en-US" w:eastAsia="zh-CN" w:bidi="ar-SA"/>
              </w:rPr>
            </w:pPr>
            <w:r>
              <w:rPr>
                <w:rStyle w:val="785"/>
                <w:rFonts w:hint="eastAsia" w:ascii="宋体" w:hAnsi="宋体" w:eastAsia="宋体" w:cs="宋体"/>
                <w:b w:val="0"/>
                <w:bCs w:val="0"/>
                <w:color w:val="auto"/>
                <w:sz w:val="21"/>
                <w:szCs w:val="22"/>
                <w:highlight w:val="none"/>
                <w:lang w:val="en-US" w:eastAsia="zh-CN" w:bidi="ar-SA"/>
              </w:rPr>
              <w:t xml:space="preserve">考核组织与实施</w:t>
            </w:r>
            <w:r/>
          </w:p>
        </w:tc>
        <w:tc>
          <w:tcPr>
            <w:gridSpan w:val="2"/>
            <w:tcW w:w="7821" w:type="dxa"/>
            <w:vAlign w:val="top"/>
            <w:textDirection w:val="lrTb"/>
            <w:noWrap w:val="false"/>
          </w:tcPr>
          <w:p>
            <w:pPr>
              <w:pStyle w:val="1537"/>
              <w:jc w:val="both"/>
              <w:widowControl w:val="off"/>
              <w:rPr>
                <w:rStyle w:val="785"/>
                <w:rFonts w:hint="eastAsia" w:ascii="宋体" w:hAnsi="宋体" w:eastAsia="宋体" w:cs="宋体"/>
                <w:b w:val="0"/>
                <w:bCs w:val="0"/>
                <w:color w:val="auto"/>
                <w:sz w:val="21"/>
                <w:szCs w:val="22"/>
                <w:highlight w:val="none"/>
                <w:lang w:val="en-US" w:eastAsia="zh-CN" w:bidi="ar-SA"/>
              </w:rPr>
            </w:pPr>
            <w:r>
              <w:rPr>
                <w:rStyle w:val="785"/>
                <w:rFonts w:hint="eastAsia" w:ascii="宋体" w:hAnsi="宋体" w:eastAsia="宋体" w:cs="宋体"/>
                <w:b w:val="0"/>
                <w:bCs w:val="0"/>
                <w:color w:val="auto"/>
                <w:sz w:val="21"/>
                <w:szCs w:val="22"/>
                <w:highlight w:val="none"/>
                <w:lang w:val="en-US" w:eastAsia="zh-CN" w:bidi="ar-SA"/>
              </w:rPr>
              <w:t xml:space="preserve">采购人负责组织实施，服务满一年对项目进行考核评分，70分</w:t>
            </w:r>
            <w:r>
              <w:rPr>
                <w:rStyle w:val="785"/>
                <w:rFonts w:hint="eastAsia" w:ascii="宋体" w:hAnsi="宋体" w:cs="宋体"/>
                <w:b w:val="0"/>
                <w:bCs w:val="0"/>
                <w:color w:val="auto"/>
                <w:sz w:val="21"/>
                <w:szCs w:val="22"/>
                <w:highlight w:val="none"/>
                <w:lang w:val="en-US" w:eastAsia="zh-CN" w:bidi="ar-SA"/>
              </w:rPr>
              <w:t xml:space="preserve">以下的</w:t>
            </w:r>
            <w:r>
              <w:rPr>
                <w:rStyle w:val="785"/>
                <w:rFonts w:hint="eastAsia" w:ascii="宋体" w:hAnsi="宋体" w:eastAsia="宋体" w:cs="宋体"/>
                <w:b w:val="0"/>
                <w:bCs w:val="0"/>
                <w:color w:val="auto"/>
                <w:sz w:val="21"/>
                <w:szCs w:val="22"/>
                <w:highlight w:val="none"/>
                <w:lang w:val="en-US" w:eastAsia="zh-CN" w:bidi="ar-SA"/>
              </w:rPr>
              <w:t xml:space="preserve">采购人有权利</w:t>
            </w:r>
            <w:r>
              <w:rPr>
                <w:rStyle w:val="785"/>
                <w:rFonts w:hint="eastAsia" w:ascii="宋体" w:hAnsi="宋体" w:cs="宋体"/>
                <w:b w:val="0"/>
                <w:bCs w:val="0"/>
                <w:color w:val="auto"/>
                <w:sz w:val="21"/>
                <w:szCs w:val="22"/>
                <w:highlight w:val="none"/>
                <w:lang w:val="en-US" w:eastAsia="zh-CN" w:bidi="ar-SA"/>
              </w:rPr>
              <w:t xml:space="preserve">终止</w:t>
            </w:r>
            <w:r>
              <w:rPr>
                <w:rStyle w:val="785"/>
                <w:rFonts w:hint="eastAsia" w:ascii="宋体" w:hAnsi="宋体" w:eastAsia="宋体" w:cs="宋体"/>
                <w:b w:val="0"/>
                <w:bCs w:val="0"/>
                <w:color w:val="auto"/>
                <w:sz w:val="21"/>
                <w:szCs w:val="22"/>
                <w:highlight w:val="none"/>
                <w:lang w:val="en-US" w:eastAsia="zh-CN" w:bidi="ar-SA"/>
              </w:rPr>
              <w:t xml:space="preserve">下一年度的服务合同。</w:t>
            </w:r>
            <w:r/>
          </w:p>
        </w:tc>
      </w:tr>
      <w:tr>
        <w:trPr>
          <w:jc w:val="center"/>
          <w:trHeight w:val="633"/>
        </w:trPr>
        <w:tc>
          <w:tcPr>
            <w:gridSpan w:val="3"/>
            <w:tcW w:w="8959" w:type="dxa"/>
            <w:vAlign w:val="center"/>
            <w:textDirection w:val="lrTb"/>
            <w:noWrap w:val="false"/>
          </w:tcPr>
          <w:p>
            <w:pPr>
              <w:pStyle w:val="1537"/>
              <w:jc w:val="both"/>
              <w:widowControl w:val="off"/>
              <w:rPr>
                <w:rStyle w:val="785"/>
                <w:rFonts w:hint="default" w:ascii="宋体" w:hAnsi="宋体" w:eastAsia="宋体" w:cs="宋体"/>
                <w:b w:val="0"/>
                <w:bCs w:val="0"/>
                <w:color w:val="auto"/>
                <w:sz w:val="21"/>
                <w:szCs w:val="22"/>
                <w:highlight w:val="none"/>
                <w:lang w:val="en-US" w:eastAsia="zh-CN" w:bidi="ar-SA"/>
              </w:rPr>
            </w:pPr>
            <w:r>
              <w:rPr>
                <w:rStyle w:val="785"/>
                <w:rFonts w:hint="eastAsia" w:ascii="宋体" w:hAnsi="宋体" w:cs="宋体"/>
                <w:b w:val="0"/>
                <w:bCs w:val="0"/>
                <w:color w:val="auto"/>
                <w:sz w:val="21"/>
                <w:szCs w:val="22"/>
                <w:highlight w:val="none"/>
                <w:lang w:val="en-US" w:eastAsia="zh-CN" w:bidi="ar-SA"/>
              </w:rPr>
              <w:t xml:space="preserve">注：得分以上包含本数；以下不包含本数。</w:t>
            </w:r>
            <w:r/>
          </w:p>
        </w:tc>
      </w:tr>
    </w:tbl>
    <w:p>
      <w:pPr>
        <w:pStyle w:val="778"/>
        <w:ind w:left="0" w:right="0" w:firstLine="0"/>
        <w:keepLines w:val="0"/>
        <w:keepNext w:val="0"/>
        <w:spacing w:before="480" w:beforeAutospacing="0" w:after="240" w:afterAutospacing="0"/>
        <w:shd w:val="clear" w:color="auto" w:fill="ffffff"/>
        <w:widowControl/>
        <w:rPr>
          <w:rFonts w:hint="eastAsia" w:ascii="宋体" w:hAnsi="宋体" w:eastAsia="宋体" w:cs="宋体"/>
          <w:b w:val="0"/>
          <w:bCs w:val="0"/>
          <w:color w:val="auto"/>
          <w:highlight w:val="none"/>
        </w:rPr>
        <w:suppressLineNumbers w:val="0"/>
      </w:pPr>
      <w:r>
        <w:rPr>
          <w:rFonts w:hint="eastAsia" w:ascii="宋体" w:hAnsi="宋体" w:eastAsia="宋体" w:cs="宋体"/>
          <w:b w:val="0"/>
          <w:bCs w:val="0"/>
          <w:color w:val="auto"/>
          <w:highlight w:val="none"/>
        </w:rPr>
      </w:r>
      <w:r/>
    </w:p>
    <w:p>
      <w:pPr>
        <w:pStyle w:val="855"/>
        <w:shd w:val="clear" w:color="auto" w:fill="ffffff" w:themeFill="background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500" w:lineRule="exact"/>
        <w:shd w:val="clear" w:color="auto" w:fill="ffffff" w:themeFill="background1"/>
        <w:rPr>
          <w:rFonts w:hint="eastAsia" w:ascii="宋体" w:hAnsi="宋体" w:eastAsia="宋体" w:cs="宋体"/>
          <w:b/>
          <w:color w:val="auto"/>
          <w:sz w:val="44"/>
          <w:szCs w:val="44"/>
          <w:highlight w:val="none"/>
        </w:rPr>
        <w:outlineLvl w:val="0"/>
      </w:pPr>
      <w:r/>
      <w:bookmarkStart w:id="118" w:name="_Toc2833"/>
      <w:r/>
      <w:bookmarkStart w:id="119" w:name="_Toc32230"/>
      <w:r>
        <w:rPr>
          <w:rFonts w:hint="eastAsia" w:ascii="宋体" w:hAnsi="宋体" w:eastAsia="宋体" w:cs="宋体"/>
          <w:b/>
          <w:color w:val="auto"/>
          <w:sz w:val="44"/>
          <w:szCs w:val="44"/>
          <w:highlight w:val="none"/>
        </w:rPr>
        <w:t xml:space="preserve">第五章  合同</w:t>
      </w:r>
      <w:bookmarkEnd w:id="98"/>
      <w:r/>
      <w:bookmarkEnd w:id="99"/>
      <w:r/>
      <w:bookmarkEnd w:id="118"/>
      <w:r>
        <w:rPr>
          <w:rFonts w:hint="eastAsia" w:ascii="宋体" w:hAnsi="宋体" w:eastAsia="宋体" w:cs="宋体"/>
          <w:b/>
          <w:color w:val="auto"/>
          <w:sz w:val="44"/>
          <w:szCs w:val="44"/>
          <w:highlight w:val="none"/>
        </w:rPr>
        <w:t xml:space="preserve">文本</w:t>
      </w:r>
      <w:bookmarkEnd w:id="119"/>
      <w:r/>
      <w:r/>
    </w:p>
    <w:p>
      <w:pPr>
        <w:pStyle w:val="855"/>
        <w:shd w:val="clear" w:color="auto" w:fill="ffffff" w:themeFill="background1"/>
        <w:rPr>
          <w:rFonts w:hint="eastAsia" w:ascii="宋体" w:hAnsi="宋体" w:eastAsia="宋体" w:cs="宋体"/>
          <w:bCs/>
          <w:color w:val="auto"/>
          <w:sz w:val="44"/>
          <w:szCs w:val="28"/>
          <w:highlight w:val="none"/>
        </w:rPr>
      </w:pPr>
      <w:r/>
      <w:bookmarkStart w:id="120" w:name="_Toc22631"/>
      <w:r/>
      <w:bookmarkStart w:id="121" w:name="_Toc7955"/>
      <w:r/>
      <w:bookmarkStart w:id="122" w:name="_Toc1657"/>
      <w:r/>
      <w:r/>
    </w:p>
    <w:p>
      <w:pPr>
        <w:ind w:firstLine="723"/>
        <w:jc w:val="center"/>
        <w:spacing w:line="500" w:lineRule="exact"/>
        <w:shd w:val="clear" w:color="auto" w:fill="ffffff" w:themeFill="background1"/>
        <w:rPr>
          <w:rStyle w:val="785"/>
          <w:rFonts w:hint="eastAsia" w:ascii="宋体" w:hAnsi="宋体" w:eastAsia="宋体" w:cs="宋体"/>
          <w:b/>
          <w:bCs/>
          <w:color w:val="auto"/>
          <w:sz w:val="36"/>
          <w:szCs w:val="36"/>
          <w:highlight w:val="none"/>
          <w:lang w:val="en-US" w:eastAsia="zh-CN" w:bidi="ar-SA"/>
        </w:rPr>
      </w:pPr>
      <w:r>
        <w:rPr>
          <w:rStyle w:val="785"/>
          <w:rFonts w:hint="eastAsia" w:ascii="宋体" w:hAnsi="宋体" w:cs="宋体"/>
          <w:b/>
          <w:bCs/>
          <w:color w:val="auto"/>
          <w:sz w:val="36"/>
          <w:szCs w:val="36"/>
          <w:highlight w:val="none"/>
          <w:lang w:val="en-US" w:eastAsia="zh-CN" w:bidi="ar-SA"/>
        </w:rPr>
        <w:t xml:space="preserve">泗洪县(2026-2027年度)残疾人综合意外险采购项目</w:t>
      </w:r>
      <w:r/>
    </w:p>
    <w:p>
      <w:pPr>
        <w:pStyle w:val="1462"/>
        <w:ind w:firstLine="1928"/>
        <w:jc w:val="both"/>
        <w:keepLines w:val="0"/>
        <w:keepNext w:val="0"/>
        <w:shd w:val="clear" w:color="auto" w:fill="ffffff" w:themeFill="background1"/>
        <w:widowControl/>
        <w:rPr>
          <w:rStyle w:val="785"/>
          <w:rFonts w:hint="eastAsia" w:ascii="宋体" w:hAnsi="宋体" w:eastAsia="宋体" w:cs="宋体"/>
          <w:b/>
          <w:bCs/>
          <w:color w:val="auto"/>
          <w:sz w:val="24"/>
          <w:szCs w:val="24"/>
          <w:highlight w:val="none"/>
          <w:lang w:val="en-US" w:eastAsia="zh-CN" w:bidi="ar-SA"/>
        </w:rPr>
        <w:suppressLineNumbers w:val="0"/>
      </w:pPr>
      <w:r>
        <w:rPr>
          <w:rFonts w:hint="eastAsia" w:ascii="宋体" w:hAnsi="宋体" w:eastAsia="宋体" w:cs="宋体"/>
          <w:b/>
          <w:bCs/>
          <w:color w:val="auto"/>
          <w:sz w:val="24"/>
          <w:szCs w:val="24"/>
          <w:highlight w:val="none"/>
          <w:lang w:val="en-US" w:eastAsia="zh-CN" w:bidi="ar-SA"/>
        </w:rPr>
      </w:r>
      <w:r/>
    </w:p>
    <w:p>
      <w:pPr>
        <w:pStyle w:val="1462"/>
        <w:jc w:val="left"/>
        <w:keepLines w:val="0"/>
        <w:keepNext w:val="0"/>
        <w:shd w:val="clear" w:color="auto" w:fill="ffffff" w:themeFill="background1"/>
        <w:widowControl/>
        <w:rPr>
          <w:rStyle w:val="785"/>
          <w:rFonts w:hint="eastAsia" w:ascii="宋体" w:hAnsi="宋体" w:eastAsia="宋体" w:cs="宋体"/>
          <w:b/>
          <w:bCs/>
          <w:color w:val="auto"/>
          <w:sz w:val="52"/>
          <w:szCs w:val="52"/>
          <w:highlight w:val="none"/>
          <w:lang w:val="en-US" w:eastAsia="zh-CN"/>
        </w:rPr>
        <w:suppressLineNumbers w:val="0"/>
      </w:pPr>
      <w:r>
        <w:rPr>
          <w:rFonts w:hint="eastAsia" w:ascii="宋体" w:hAnsi="宋体" w:eastAsia="宋体" w:cs="宋体"/>
          <w:b/>
          <w:bCs/>
          <w:color w:val="auto"/>
          <w:sz w:val="52"/>
          <w:szCs w:val="52"/>
          <w:highlight w:val="none"/>
          <w:lang w:val="en-US" w:eastAsia="zh-CN"/>
        </w:rPr>
      </w:r>
      <w:r/>
    </w:p>
    <w:p>
      <w:pPr>
        <w:pStyle w:val="1462"/>
        <w:jc w:val="center"/>
        <w:keepLines w:val="0"/>
        <w:keepNext w:val="0"/>
        <w:shd w:val="clear" w:color="auto" w:fill="ffffff" w:themeFill="background1"/>
        <w:widowControl/>
        <w:rPr>
          <w:rStyle w:val="785"/>
          <w:rFonts w:hint="eastAsia" w:ascii="宋体" w:hAnsi="宋体" w:eastAsia="宋体" w:cs="宋体"/>
          <w:color w:val="auto"/>
          <w:sz w:val="15"/>
          <w:szCs w:val="16"/>
          <w:highlight w:val="none"/>
        </w:rPr>
        <w:suppressLineNumbers w:val="0"/>
      </w:pPr>
      <w:r>
        <w:rPr>
          <w:rStyle w:val="785"/>
          <w:rFonts w:hint="eastAsia" w:ascii="宋体" w:hAnsi="宋体" w:eastAsia="宋体" w:cs="宋体"/>
          <w:b/>
          <w:bCs/>
          <w:color w:val="auto"/>
          <w:sz w:val="44"/>
          <w:szCs w:val="44"/>
          <w:highlight w:val="none"/>
          <w:lang w:val="en-US" w:eastAsia="zh-CN"/>
        </w:rPr>
        <w:t xml:space="preserve">政 府 采 购 合 同</w:t>
      </w:r>
      <w:r/>
    </w:p>
    <w:p>
      <w:pPr>
        <w:pStyle w:val="1462"/>
        <w:ind w:firstLine="1968"/>
        <w:jc w:val="both"/>
        <w:keepLines w:val="0"/>
        <w:keepNext w:val="0"/>
        <w:shd w:val="clear" w:color="auto" w:fill="ffffff" w:themeFill="background1"/>
        <w:widowControl/>
        <w:rPr>
          <w:rStyle w:val="785"/>
          <w:rFonts w:hint="eastAsia" w:ascii="宋体" w:hAnsi="宋体" w:eastAsia="宋体" w:cs="宋体"/>
          <w:b/>
          <w:bCs/>
          <w:color w:val="auto"/>
          <w:sz w:val="28"/>
          <w:szCs w:val="28"/>
          <w:highlight w:val="none"/>
          <w:lang w:val="en-US" w:eastAsia="zh-CN"/>
        </w:rPr>
        <w:suppressLineNumbers w:val="0"/>
      </w:pPr>
      <w:r>
        <w:rPr>
          <w:rFonts w:hint="eastAsia" w:ascii="宋体" w:hAnsi="宋体" w:eastAsia="宋体" w:cs="宋体"/>
          <w:b/>
          <w:bCs/>
          <w:color w:val="auto"/>
          <w:sz w:val="28"/>
          <w:szCs w:val="28"/>
          <w:highlight w:val="none"/>
          <w:lang w:val="en-US" w:eastAsia="zh-CN"/>
        </w:rPr>
      </w:r>
      <w:r/>
    </w:p>
    <w:p>
      <w:pPr>
        <w:pStyle w:val="1464"/>
        <w:shd w:val="clear" w:color="auto" w:fill="ffffff" w:themeFill="background1"/>
        <w:rPr>
          <w:rStyle w:val="785"/>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pStyle w:val="1462"/>
        <w:jc w:val="both"/>
        <w:keepLines w:val="0"/>
        <w:keepNext w:val="0"/>
        <w:shd w:val="clear" w:color="auto" w:fill="ffffff" w:themeFill="background1"/>
        <w:widowControl/>
        <w:rPr>
          <w:rStyle w:val="785"/>
          <w:rFonts w:hint="eastAsia" w:ascii="宋体" w:hAnsi="宋体" w:eastAsia="宋体" w:cs="宋体"/>
          <w:b/>
          <w:bCs/>
          <w:color w:val="auto"/>
          <w:sz w:val="28"/>
          <w:szCs w:val="28"/>
          <w:highlight w:val="none"/>
          <w:lang w:val="en-US" w:eastAsia="zh-CN"/>
        </w:rPr>
        <w:suppressLineNumbers w:val="0"/>
      </w:pPr>
      <w:r>
        <w:rPr>
          <w:rFonts w:hint="eastAsia" w:ascii="宋体" w:hAnsi="宋体" w:eastAsia="宋体" w:cs="宋体"/>
          <w:b/>
          <w:bCs/>
          <w:color w:val="auto"/>
          <w:sz w:val="28"/>
          <w:szCs w:val="28"/>
          <w:highlight w:val="none"/>
          <w:lang w:val="en-US" w:eastAsia="zh-CN"/>
        </w:rPr>
      </w:r>
      <w:r/>
    </w:p>
    <w:p>
      <w:pPr>
        <w:pStyle w:val="1464"/>
        <w:shd w:val="clear" w:color="auto" w:fill="ffffff" w:themeFill="background1"/>
        <w:rPr>
          <w:rStyle w:val="785"/>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1462"/>
        <w:jc w:val="both"/>
        <w:keepLines w:val="0"/>
        <w:keepNext w:val="0"/>
        <w:shd w:val="clear" w:color="auto" w:fill="ffffff" w:themeFill="background1"/>
        <w:widowControl/>
        <w:rPr>
          <w:rStyle w:val="785"/>
          <w:rFonts w:hint="eastAsia" w:ascii="宋体" w:hAnsi="宋体" w:eastAsia="宋体" w:cs="宋体"/>
          <w:b/>
          <w:bCs/>
          <w:color w:val="auto"/>
          <w:sz w:val="28"/>
          <w:szCs w:val="28"/>
          <w:highlight w:val="none"/>
          <w:lang w:val="en-US" w:eastAsia="zh-CN"/>
        </w:rPr>
        <w:suppressLineNumbers w:val="0"/>
      </w:pPr>
      <w:r>
        <w:rPr>
          <w:rStyle w:val="785"/>
          <w:rFonts w:hint="eastAsia" w:ascii="宋体" w:hAnsi="宋体" w:eastAsia="宋体" w:cs="宋体"/>
          <w:b/>
          <w:bCs/>
          <w:color w:val="auto"/>
          <w:sz w:val="28"/>
          <w:szCs w:val="28"/>
          <w:highlight w:val="none"/>
          <w:lang w:val="en-US" w:eastAsia="zh-CN"/>
        </w:rPr>
        <w:t xml:space="preserve">甲方：</w:t>
      </w:r>
      <w:r/>
    </w:p>
    <w:p>
      <w:pPr>
        <w:pStyle w:val="1462"/>
        <w:ind w:firstLine="1968"/>
        <w:jc w:val="both"/>
        <w:keepLines w:val="0"/>
        <w:keepNext w:val="0"/>
        <w:shd w:val="clear" w:color="auto" w:fill="ffffff" w:themeFill="background1"/>
        <w:widowControl/>
        <w:rPr>
          <w:rStyle w:val="785"/>
          <w:rFonts w:hint="eastAsia" w:ascii="宋体" w:hAnsi="宋体" w:eastAsia="宋体" w:cs="宋体"/>
          <w:b/>
          <w:bCs/>
          <w:color w:val="auto"/>
          <w:sz w:val="28"/>
          <w:szCs w:val="28"/>
          <w:highlight w:val="none"/>
          <w:lang w:val="en-US" w:eastAsia="zh-CN"/>
        </w:rPr>
        <w:suppressLineNumbers w:val="0"/>
      </w:pPr>
      <w:r>
        <w:rPr>
          <w:rFonts w:hint="eastAsia" w:ascii="宋体" w:hAnsi="宋体" w:eastAsia="宋体" w:cs="宋体"/>
          <w:b/>
          <w:bCs/>
          <w:color w:val="auto"/>
          <w:sz w:val="28"/>
          <w:szCs w:val="28"/>
          <w:highlight w:val="none"/>
          <w:lang w:val="en-US" w:eastAsia="zh-CN"/>
        </w:rPr>
      </w:r>
      <w:r/>
    </w:p>
    <w:p>
      <w:pPr>
        <w:pStyle w:val="1462"/>
        <w:jc w:val="both"/>
        <w:keepLines w:val="0"/>
        <w:keepNext w:val="0"/>
        <w:shd w:val="clear" w:color="auto" w:fill="ffffff" w:themeFill="background1"/>
        <w:widowControl/>
        <w:rPr>
          <w:rStyle w:val="785"/>
          <w:rFonts w:hint="eastAsia" w:ascii="宋体" w:hAnsi="宋体" w:eastAsia="宋体" w:cs="宋体"/>
          <w:b/>
          <w:bCs/>
          <w:color w:val="auto"/>
          <w:sz w:val="28"/>
          <w:szCs w:val="28"/>
          <w:highlight w:val="none"/>
          <w:lang w:val="en-US" w:eastAsia="zh-CN"/>
        </w:rPr>
        <w:suppressLineNumbers w:val="0"/>
      </w:pPr>
      <w:r>
        <w:rPr>
          <w:rStyle w:val="785"/>
          <w:rFonts w:hint="eastAsia" w:ascii="宋体" w:hAnsi="宋体" w:eastAsia="宋体" w:cs="宋体"/>
          <w:b/>
          <w:bCs/>
          <w:color w:val="auto"/>
          <w:sz w:val="28"/>
          <w:szCs w:val="28"/>
          <w:highlight w:val="none"/>
          <w:lang w:val="en-US" w:eastAsia="zh-CN"/>
        </w:rPr>
        <w:t xml:space="preserve">乙方：    </w:t>
      </w:r>
      <w:r/>
    </w:p>
    <w:p>
      <w:pPr>
        <w:pStyle w:val="1462"/>
        <w:ind w:firstLine="1968"/>
        <w:jc w:val="both"/>
        <w:keepLines w:val="0"/>
        <w:keepNext w:val="0"/>
        <w:shd w:val="clear" w:color="auto" w:fill="ffffff" w:themeFill="background1"/>
        <w:widowControl/>
        <w:rPr>
          <w:rStyle w:val="785"/>
          <w:rFonts w:hint="eastAsia" w:ascii="宋体" w:hAnsi="宋体" w:eastAsia="宋体" w:cs="宋体"/>
          <w:b/>
          <w:bCs/>
          <w:color w:val="auto"/>
          <w:sz w:val="28"/>
          <w:szCs w:val="28"/>
          <w:highlight w:val="none"/>
          <w:lang w:val="en-US" w:eastAsia="zh-CN"/>
        </w:rPr>
        <w:suppressLineNumbers w:val="0"/>
      </w:pPr>
      <w:r>
        <w:rPr>
          <w:rFonts w:hint="eastAsia" w:ascii="宋体" w:hAnsi="宋体" w:eastAsia="宋体" w:cs="宋体"/>
          <w:b/>
          <w:bCs/>
          <w:color w:val="auto"/>
          <w:sz w:val="28"/>
          <w:szCs w:val="28"/>
          <w:highlight w:val="none"/>
          <w:lang w:val="en-US" w:eastAsia="zh-CN"/>
        </w:rPr>
      </w:r>
      <w:r/>
    </w:p>
    <w:p>
      <w:pPr>
        <w:pStyle w:val="1462"/>
        <w:jc w:val="both"/>
        <w:keepLines w:val="0"/>
        <w:keepNext w:val="0"/>
        <w:shd w:val="clear" w:color="auto" w:fill="ffffff" w:themeFill="background1"/>
        <w:widowControl/>
        <w:rPr>
          <w:rStyle w:val="785"/>
          <w:rFonts w:hint="eastAsia" w:ascii="宋体" w:hAnsi="宋体" w:eastAsia="宋体" w:cs="宋体"/>
          <w:b/>
          <w:bCs/>
          <w:color w:val="auto"/>
          <w:sz w:val="28"/>
          <w:szCs w:val="28"/>
          <w:highlight w:val="none"/>
          <w:lang w:val="en-US" w:eastAsia="zh-CN"/>
        </w:rPr>
        <w:suppressLineNumbers w:val="0"/>
      </w:pPr>
      <w:r>
        <w:rPr>
          <w:rStyle w:val="785"/>
          <w:rFonts w:hint="eastAsia" w:ascii="宋体" w:hAnsi="宋体" w:eastAsia="宋体" w:cs="宋体"/>
          <w:b/>
          <w:bCs/>
          <w:color w:val="auto"/>
          <w:sz w:val="28"/>
          <w:szCs w:val="28"/>
          <w:highlight w:val="none"/>
          <w:lang w:val="en-US" w:eastAsia="zh-CN"/>
        </w:rPr>
        <w:t xml:space="preserve">合同签订时间：2026年1 月1 日          </w:t>
      </w:r>
      <w:r/>
    </w:p>
    <w:p>
      <w:pPr>
        <w:pStyle w:val="1462"/>
        <w:ind w:firstLine="1968"/>
        <w:jc w:val="both"/>
        <w:keepLines w:val="0"/>
        <w:keepNext w:val="0"/>
        <w:shd w:val="clear" w:color="auto" w:fill="ffffff" w:themeFill="background1"/>
        <w:widowControl/>
        <w:rPr>
          <w:rStyle w:val="785"/>
          <w:rFonts w:hint="eastAsia" w:ascii="宋体" w:hAnsi="宋体" w:eastAsia="宋体" w:cs="宋体"/>
          <w:b/>
          <w:bCs/>
          <w:color w:val="auto"/>
          <w:sz w:val="28"/>
          <w:szCs w:val="28"/>
          <w:highlight w:val="none"/>
          <w:lang w:val="en-US" w:eastAsia="zh-CN"/>
        </w:rPr>
        <w:suppressLineNumbers w:val="0"/>
      </w:pPr>
      <w:r>
        <w:rPr>
          <w:rFonts w:hint="eastAsia" w:ascii="宋体" w:hAnsi="宋体" w:eastAsia="宋体" w:cs="宋体"/>
          <w:b/>
          <w:bCs/>
          <w:color w:val="auto"/>
          <w:sz w:val="28"/>
          <w:szCs w:val="28"/>
          <w:highlight w:val="none"/>
          <w:lang w:val="en-US" w:eastAsia="zh-CN"/>
        </w:rPr>
      </w:r>
      <w:r/>
    </w:p>
    <w:p>
      <w:pPr>
        <w:pStyle w:val="1462"/>
        <w:jc w:val="left"/>
        <w:keepLines w:val="0"/>
        <w:keepNext w:val="0"/>
        <w:shd w:val="clear" w:color="auto" w:fill="ffffff" w:themeFill="background1"/>
        <w:widowControl/>
        <w:rPr>
          <w:rStyle w:val="785"/>
          <w:rFonts w:hint="eastAsia" w:ascii="宋体" w:hAnsi="宋体" w:eastAsia="宋体" w:cs="宋体"/>
          <w:b/>
          <w:bCs/>
          <w:color w:val="auto"/>
          <w:sz w:val="40"/>
          <w:szCs w:val="40"/>
          <w:highlight w:val="none"/>
          <w:lang w:val="en-US" w:eastAsia="zh-CN"/>
        </w:rPr>
        <w:suppressLineNumbers w:val="0"/>
      </w:pPr>
      <w:r>
        <w:rPr>
          <w:rFonts w:hint="eastAsia" w:ascii="宋体" w:hAnsi="宋体" w:eastAsia="宋体" w:cs="宋体"/>
          <w:b/>
          <w:bCs/>
          <w:color w:val="auto"/>
          <w:sz w:val="40"/>
          <w:szCs w:val="40"/>
          <w:highlight w:val="none"/>
          <w:lang w:val="en-US" w:eastAsia="zh-CN"/>
        </w:rPr>
      </w:r>
      <w:r/>
    </w:p>
    <w:p>
      <w:pPr>
        <w:pStyle w:val="1463"/>
        <w:rPr>
          <w:rStyle w:val="785"/>
          <w:rFonts w:hint="eastAsia" w:ascii="宋体" w:hAnsi="宋体" w:eastAsia="宋体" w:cs="宋体"/>
          <w:b/>
          <w:bCs/>
          <w:color w:val="auto"/>
          <w:sz w:val="40"/>
          <w:szCs w:val="40"/>
          <w:highlight w:val="none"/>
          <w:lang w:val="en-US" w:eastAsia="zh-CN"/>
        </w:rPr>
      </w:pPr>
      <w:r>
        <w:rPr>
          <w:rFonts w:hint="eastAsia" w:ascii="宋体" w:hAnsi="宋体" w:eastAsia="宋体" w:cs="宋体"/>
          <w:b/>
          <w:bCs/>
          <w:color w:val="auto"/>
          <w:sz w:val="40"/>
          <w:szCs w:val="40"/>
          <w:highlight w:val="none"/>
          <w:lang w:val="en-US" w:eastAsia="zh-CN"/>
        </w:rPr>
      </w:r>
      <w:r/>
    </w:p>
    <w:p>
      <w:pPr>
        <w:pStyle w:val="1462"/>
        <w:rPr>
          <w:rStyle w:val="785"/>
          <w:rFonts w:hint="eastAsia" w:ascii="宋体" w:hAnsi="宋体" w:eastAsia="宋体" w:cs="宋体"/>
          <w:b/>
          <w:bCs/>
          <w:color w:val="auto"/>
          <w:sz w:val="40"/>
          <w:szCs w:val="40"/>
          <w:highlight w:val="none"/>
          <w:lang w:val="en-US" w:eastAsia="zh-CN"/>
        </w:rPr>
      </w:pPr>
      <w:r>
        <w:rPr>
          <w:rFonts w:hint="eastAsia" w:ascii="宋体" w:hAnsi="宋体" w:eastAsia="宋体" w:cs="宋体"/>
          <w:b/>
          <w:bCs/>
          <w:color w:val="auto"/>
          <w:sz w:val="40"/>
          <w:szCs w:val="40"/>
          <w:highlight w:val="none"/>
          <w:lang w:val="en-US" w:eastAsia="zh-CN"/>
        </w:rPr>
      </w:r>
      <w:r/>
    </w:p>
    <w:p>
      <w:pPr>
        <w:pStyle w:val="1463"/>
        <w:rPr>
          <w:rStyle w:val="785"/>
          <w:rFonts w:hint="eastAsia" w:ascii="宋体" w:hAnsi="宋体" w:eastAsia="宋体" w:cs="宋体"/>
          <w:b/>
          <w:bCs/>
          <w:color w:val="auto"/>
          <w:sz w:val="40"/>
          <w:szCs w:val="40"/>
          <w:highlight w:val="none"/>
          <w:lang w:val="en-US" w:eastAsia="zh-CN"/>
        </w:rPr>
      </w:pPr>
      <w:r>
        <w:rPr>
          <w:rFonts w:hint="eastAsia" w:ascii="宋体" w:hAnsi="宋体" w:eastAsia="宋体" w:cs="宋体"/>
          <w:b/>
          <w:bCs/>
          <w:color w:val="auto"/>
          <w:sz w:val="40"/>
          <w:szCs w:val="40"/>
          <w:highlight w:val="none"/>
          <w:lang w:val="en-US" w:eastAsia="zh-CN"/>
        </w:rPr>
      </w:r>
      <w:r/>
    </w:p>
    <w:p>
      <w:pPr>
        <w:pStyle w:val="1462"/>
        <w:rPr>
          <w:rStyle w:val="785"/>
          <w:rFonts w:hint="eastAsia" w:ascii="宋体" w:hAnsi="宋体" w:eastAsia="宋体" w:cs="宋体"/>
          <w:b/>
          <w:bCs/>
          <w:color w:val="auto"/>
          <w:sz w:val="40"/>
          <w:szCs w:val="40"/>
          <w:highlight w:val="none"/>
          <w:lang w:val="en-US" w:eastAsia="zh-CN"/>
        </w:rPr>
      </w:pPr>
      <w:r>
        <w:rPr>
          <w:rFonts w:hint="eastAsia" w:ascii="宋体" w:hAnsi="宋体" w:eastAsia="宋体" w:cs="宋体"/>
          <w:b/>
          <w:bCs/>
          <w:color w:val="auto"/>
          <w:sz w:val="40"/>
          <w:szCs w:val="40"/>
          <w:highlight w:val="none"/>
          <w:lang w:val="en-US" w:eastAsia="zh-CN"/>
        </w:rPr>
      </w:r>
      <w:r/>
    </w:p>
    <w:p>
      <w:pPr>
        <w:pStyle w:val="1538"/>
        <w:ind w:left="0" w:firstLine="0"/>
        <w:spacing w:line="360" w:lineRule="auto"/>
        <w:shd w:val="clear" w:color="auto" w:fill="ffffff" w:themeFill="background1"/>
        <w:rPr>
          <w:rStyle w:val="785"/>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462"/>
        <w:jc w:val="center"/>
        <w:keepLines w:val="0"/>
        <w:keepNext w:val="0"/>
        <w:shd w:val="clear" w:color="auto" w:fill="ffffff" w:themeFill="background1"/>
        <w:widowControl/>
        <w:rPr>
          <w:rStyle w:val="785"/>
          <w:rFonts w:hint="eastAsia" w:asciiTheme="minorEastAsia" w:hAnsiTheme="minorEastAsia" w:eastAsiaTheme="minorEastAsia" w:cstheme="minorEastAsia"/>
          <w:b w:val="0"/>
          <w:bCs w:val="0"/>
          <w:color w:val="auto"/>
          <w:sz w:val="28"/>
          <w:szCs w:val="28"/>
          <w:highlight w:val="none"/>
          <w:lang w:val="en-US" w:eastAsia="zh-CN"/>
        </w:rPr>
        <w:suppressLineNumbers w:val="0"/>
      </w:pPr>
      <w:r>
        <w:rPr>
          <w:rFonts w:hint="eastAsia" w:asciiTheme="minorEastAsia" w:hAnsiTheme="minorEastAsia" w:eastAsiaTheme="minorEastAsia" w:cstheme="minorEastAsia"/>
          <w:b w:val="0"/>
          <w:bCs w:val="0"/>
          <w:color w:val="auto"/>
          <w:sz w:val="28"/>
          <w:szCs w:val="28"/>
          <w:highlight w:val="none"/>
          <w:lang w:val="en-US" w:eastAsia="zh-CN"/>
        </w:rPr>
      </w:r>
      <w:r/>
    </w:p>
    <w:p>
      <w:pPr>
        <w:pStyle w:val="1462"/>
        <w:jc w:val="center"/>
        <w:keepLines w:val="0"/>
        <w:keepNext w:val="0"/>
        <w:shd w:val="clear" w:color="auto" w:fill="ffffff" w:themeFill="background1"/>
        <w:widowControl/>
        <w:rPr>
          <w:rStyle w:val="785"/>
          <w:rFonts w:hint="eastAsia" w:asciiTheme="minorEastAsia" w:hAnsiTheme="minorEastAsia" w:eastAsiaTheme="minorEastAsia" w:cstheme="minorEastAsia"/>
          <w:b/>
          <w:bCs/>
          <w:color w:val="auto"/>
          <w:sz w:val="28"/>
          <w:szCs w:val="28"/>
          <w:highlight w:val="none"/>
          <w:lang w:val="en-US" w:eastAsia="zh-CN"/>
        </w:rPr>
        <w:suppressLineNumbers w:val="0"/>
      </w:pPr>
      <w:r>
        <w:rPr>
          <w:rStyle w:val="785"/>
          <w:rFonts w:hint="eastAsia" w:asciiTheme="minorEastAsia" w:hAnsiTheme="minorEastAsia" w:eastAsiaTheme="minorEastAsia" w:cstheme="minorEastAsia"/>
          <w:b/>
          <w:bCs/>
          <w:color w:val="auto"/>
          <w:sz w:val="28"/>
          <w:szCs w:val="28"/>
          <w:highlight w:val="none"/>
          <w:lang w:val="en-US" w:eastAsia="zh-CN"/>
        </w:rPr>
        <w:t xml:space="preserve">泗洪县(2026-2027年度)残疾人综合意外险采购项目</w:t>
      </w:r>
      <w:r/>
    </w:p>
    <w:p>
      <w:pPr>
        <w:pStyle w:val="1462"/>
        <w:jc w:val="center"/>
        <w:keepLines w:val="0"/>
        <w:keepNext w:val="0"/>
        <w:shd w:val="clear" w:color="auto" w:fill="ffffff" w:themeFill="background1"/>
        <w:widowControl/>
        <w:rPr>
          <w:rStyle w:val="785"/>
          <w:rFonts w:hint="eastAsia" w:asciiTheme="minorEastAsia" w:hAnsiTheme="minorEastAsia" w:eastAsiaTheme="minorEastAsia" w:cstheme="minorEastAsia"/>
          <w:b/>
          <w:bCs/>
          <w:color w:val="auto"/>
          <w:sz w:val="24"/>
          <w:szCs w:val="24"/>
          <w:highlight w:val="none"/>
          <w:lang w:val="en-US" w:eastAsia="zh-CN"/>
        </w:rPr>
        <w:suppressLineNumbers w:val="0"/>
      </w:pPr>
      <w:r>
        <w:rPr>
          <w:rStyle w:val="785"/>
          <w:rFonts w:hint="eastAsia" w:asciiTheme="minorEastAsia" w:hAnsiTheme="minorEastAsia" w:eastAsiaTheme="minorEastAsia" w:cstheme="minorEastAsia"/>
          <w:b/>
          <w:bCs/>
          <w:color w:val="auto"/>
          <w:sz w:val="28"/>
          <w:szCs w:val="28"/>
          <w:highlight w:val="none"/>
          <w:lang w:val="en-US" w:eastAsia="zh-CN"/>
        </w:rPr>
        <w:t xml:space="preserve">政府采购合同</w:t>
      </w:r>
      <w:r/>
    </w:p>
    <w:p>
      <w:pPr>
        <w:pStyle w:val="1527"/>
        <w:ind w:right="471"/>
        <w:jc w:val="both"/>
        <w:spacing w:before="1" w:line="440" w:lineRule="exact"/>
        <w:tabs>
          <w:tab w:val="left" w:pos="3277" w:leader="none"/>
        </w:tabs>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采购单位：</w:t>
      </w:r>
      <w:r>
        <w:rPr>
          <w:rStyle w:val="785"/>
          <w:rFonts w:hint="eastAsia" w:asciiTheme="minorEastAsia" w:hAnsiTheme="minorEastAsia" w:eastAsiaTheme="minorEastAsia" w:cstheme="minorEastAsia"/>
          <w:b w:val="0"/>
          <w:bCs w:val="0"/>
          <w:color w:val="auto"/>
          <w:sz w:val="24"/>
          <w:szCs w:val="24"/>
          <w:highlight w:val="none"/>
          <w:u w:val="single"/>
          <w:lang w:eastAsia="zh-CN"/>
        </w:rPr>
        <w:t xml:space="preserve">泗洪县</w:t>
      </w:r>
      <w:r>
        <w:rPr>
          <w:rStyle w:val="785"/>
          <w:rFonts w:hint="eastAsia" w:asciiTheme="minorEastAsia" w:hAnsiTheme="minorEastAsia" w:eastAsiaTheme="minorEastAsia" w:cstheme="minorEastAsia"/>
          <w:b w:val="0"/>
          <w:bCs w:val="0"/>
          <w:color w:val="auto"/>
          <w:sz w:val="24"/>
          <w:szCs w:val="24"/>
          <w:highlight w:val="none"/>
          <w:u w:val="single"/>
        </w:rPr>
        <w:t xml:space="preserve">残疾人联合会</w:t>
      </w:r>
      <w:r>
        <w:rPr>
          <w:rStyle w:val="785"/>
          <w:rFonts w:hint="eastAsia" w:asciiTheme="minorEastAsia" w:hAnsiTheme="minorEastAsia" w:eastAsiaTheme="minorEastAsia" w:cstheme="minorEastAsia"/>
          <w:b w:val="0"/>
          <w:bCs w:val="0"/>
          <w:color w:val="auto"/>
          <w:sz w:val="24"/>
          <w:szCs w:val="24"/>
          <w:highlight w:val="none"/>
        </w:rPr>
        <w:t xml:space="preserve">（简称甲方）</w:t>
      </w:r>
      <w:r/>
    </w:p>
    <w:p>
      <w:pPr>
        <w:pStyle w:val="1527"/>
        <w:ind w:right="471"/>
        <w:jc w:val="both"/>
        <w:spacing w:before="1" w:line="440" w:lineRule="exact"/>
        <w:tabs>
          <w:tab w:val="left" w:pos="3277" w:leader="none"/>
        </w:tabs>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承保人：</w:t>
      </w:r>
      <w:r>
        <w:rPr>
          <w:rStyle w:val="785"/>
          <w:rFonts w:hint="eastAsia" w:asciiTheme="minorEastAsia" w:hAnsiTheme="minorEastAsia" w:eastAsiaTheme="minorEastAsia" w:cstheme="minorEastAsia"/>
          <w:b w:val="0"/>
          <w:bCs w:val="0"/>
          <w:color w:val="auto"/>
          <w:sz w:val="24"/>
          <w:szCs w:val="24"/>
          <w:highlight w:val="none"/>
          <w:u w:val="single"/>
        </w:rPr>
        <w:t xml:space="preserve">承保人（</w:t>
      </w:r>
      <w:r>
        <w:rPr>
          <w:rStyle w:val="785"/>
          <w:rFonts w:hint="eastAsia" w:asciiTheme="minorEastAsia" w:hAnsiTheme="minorEastAsia" w:eastAsiaTheme="minorEastAsia" w:cstheme="minorEastAsia"/>
          <w:b w:val="0"/>
          <w:bCs w:val="0"/>
          <w:color w:val="auto"/>
          <w:sz w:val="24"/>
          <w:szCs w:val="24"/>
          <w:highlight w:val="none"/>
          <w:u w:val="single"/>
          <w:lang w:val="en-US" w:eastAsia="zh-CN"/>
        </w:rPr>
        <w:t xml:space="preserve">1</w:t>
      </w:r>
      <w:r>
        <w:rPr>
          <w:rStyle w:val="785"/>
          <w:rFonts w:hint="eastAsia" w:asciiTheme="minorEastAsia" w:hAnsiTheme="minorEastAsia" w:eastAsiaTheme="minorEastAsia" w:cstheme="minorEastAsia"/>
          <w:b w:val="0"/>
          <w:bCs w:val="0"/>
          <w:color w:val="auto"/>
          <w:sz w:val="24"/>
          <w:szCs w:val="24"/>
          <w:highlight w:val="none"/>
          <w:u w:val="single"/>
        </w:rPr>
        <w:t xml:space="preserve">）</w:t>
      </w:r>
      <w:r>
        <w:rPr>
          <w:rStyle w:val="785"/>
          <w:rFonts w:hint="eastAsia" w:asciiTheme="minorEastAsia" w:hAnsiTheme="minorEastAsia" w:eastAsiaTheme="minorEastAsia" w:cstheme="minorEastAsia"/>
          <w:b w:val="0"/>
          <w:bCs w:val="0"/>
          <w:color w:val="auto"/>
          <w:sz w:val="24"/>
          <w:szCs w:val="24"/>
          <w:highlight w:val="none"/>
        </w:rPr>
        <w:t xml:space="preserve">（简称乙方）</w:t>
      </w:r>
      <w:r/>
    </w:p>
    <w:p>
      <w:pPr>
        <w:pStyle w:val="1527"/>
        <w:ind w:right="471"/>
        <w:jc w:val="both"/>
        <w:spacing w:before="1" w:line="440" w:lineRule="exact"/>
        <w:tabs>
          <w:tab w:val="left" w:pos="3277" w:leader="none"/>
        </w:tabs>
        <w:rPr>
          <w:rStyle w:val="785"/>
          <w:rFonts w:hint="eastAsia" w:asciiTheme="minorEastAsia" w:hAnsiTheme="minorEastAsia" w:eastAsiaTheme="minorEastAsia" w:cstheme="minorEastAsia"/>
          <w:b w:val="0"/>
          <w:bCs w:val="0"/>
          <w:color w:val="auto"/>
          <w:spacing w:val="-15"/>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承保人：</w:t>
      </w:r>
      <w:r>
        <w:rPr>
          <w:rStyle w:val="785"/>
          <w:rFonts w:hint="eastAsia" w:asciiTheme="minorEastAsia" w:hAnsiTheme="minorEastAsia" w:eastAsiaTheme="minorEastAsia" w:cstheme="minorEastAsia"/>
          <w:b w:val="0"/>
          <w:bCs w:val="0"/>
          <w:color w:val="auto"/>
          <w:sz w:val="24"/>
          <w:szCs w:val="24"/>
          <w:highlight w:val="none"/>
          <w:u w:val="single"/>
        </w:rPr>
        <w:t xml:space="preserve">承保人（</w:t>
      </w:r>
      <w:r>
        <w:rPr>
          <w:rStyle w:val="785"/>
          <w:rFonts w:hint="eastAsia" w:asciiTheme="minorEastAsia" w:hAnsiTheme="minorEastAsia" w:eastAsiaTheme="minorEastAsia" w:cstheme="minorEastAsia"/>
          <w:b w:val="0"/>
          <w:bCs w:val="0"/>
          <w:color w:val="auto"/>
          <w:sz w:val="24"/>
          <w:szCs w:val="24"/>
          <w:highlight w:val="none"/>
          <w:u w:val="single"/>
          <w:lang w:val="en-US" w:eastAsia="zh-CN"/>
        </w:rPr>
        <w:t xml:space="preserve">2</w:t>
      </w:r>
      <w:r>
        <w:rPr>
          <w:rStyle w:val="785"/>
          <w:rFonts w:hint="eastAsia" w:asciiTheme="minorEastAsia" w:hAnsiTheme="minorEastAsia" w:eastAsiaTheme="minorEastAsia" w:cstheme="minorEastAsia"/>
          <w:b w:val="0"/>
          <w:bCs w:val="0"/>
          <w:color w:val="auto"/>
          <w:sz w:val="24"/>
          <w:szCs w:val="24"/>
          <w:highlight w:val="none"/>
          <w:u w:val="single"/>
        </w:rPr>
        <w:t xml:space="preserve">）</w:t>
      </w:r>
      <w:r>
        <w:rPr>
          <w:rStyle w:val="785"/>
          <w:rFonts w:hint="eastAsia" w:asciiTheme="minorEastAsia" w:hAnsiTheme="minorEastAsia" w:eastAsiaTheme="minorEastAsia" w:cstheme="minorEastAsia"/>
          <w:b w:val="0"/>
          <w:bCs w:val="0"/>
          <w:color w:val="auto"/>
          <w:sz w:val="24"/>
          <w:szCs w:val="24"/>
          <w:highlight w:val="none"/>
        </w:rPr>
        <w:t xml:space="preserve">（简称乙方）</w:t>
      </w:r>
      <w:r/>
    </w:p>
    <w:p>
      <w:pPr>
        <w:pStyle w:val="1527"/>
        <w:ind w:right="471"/>
        <w:jc w:val="both"/>
        <w:spacing w:before="1" w:line="440" w:lineRule="exact"/>
        <w:tabs>
          <w:tab w:val="left" w:pos="3277" w:leader="none"/>
        </w:tabs>
        <w:rPr>
          <w:rStyle w:val="785"/>
          <w:rFonts w:hint="eastAsia" w:asciiTheme="minorEastAsia" w:hAnsiTheme="minorEastAsia" w:eastAsiaTheme="minorEastAsia" w:cstheme="minorEastAsia"/>
          <w:b w:val="0"/>
          <w:bCs w:val="0"/>
          <w:color w:val="auto"/>
          <w:spacing w:val="-15"/>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承保人：</w:t>
      </w:r>
      <w:r>
        <w:rPr>
          <w:rStyle w:val="785"/>
          <w:rFonts w:hint="eastAsia" w:asciiTheme="minorEastAsia" w:hAnsiTheme="minorEastAsia" w:eastAsiaTheme="minorEastAsia" w:cstheme="minorEastAsia"/>
          <w:b w:val="0"/>
          <w:bCs w:val="0"/>
          <w:color w:val="auto"/>
          <w:sz w:val="24"/>
          <w:szCs w:val="24"/>
          <w:highlight w:val="none"/>
          <w:u w:val="single"/>
        </w:rPr>
        <w:t xml:space="preserve">承保人</w:t>
      </w:r>
      <w:r>
        <w:rPr>
          <w:rStyle w:val="785"/>
          <w:rFonts w:hint="eastAsia" w:asciiTheme="minorEastAsia" w:hAnsiTheme="minorEastAsia" w:eastAsiaTheme="minorEastAsia" w:cstheme="minorEastAsia"/>
          <w:b w:val="0"/>
          <w:bCs w:val="0"/>
          <w:color w:val="auto"/>
          <w:sz w:val="24"/>
          <w:szCs w:val="24"/>
          <w:highlight w:val="none"/>
          <w:u w:val="single"/>
        </w:rPr>
        <w:t xml:space="preserve">（</w:t>
      </w:r>
      <w:r>
        <w:rPr>
          <w:rStyle w:val="785"/>
          <w:rFonts w:hint="eastAsia" w:asciiTheme="minorEastAsia" w:hAnsiTheme="minorEastAsia" w:eastAsiaTheme="minorEastAsia" w:cstheme="minorEastAsia"/>
          <w:b w:val="0"/>
          <w:bCs w:val="0"/>
          <w:color w:val="auto"/>
          <w:sz w:val="24"/>
          <w:szCs w:val="24"/>
          <w:highlight w:val="none"/>
          <w:u w:val="single"/>
          <w:lang w:val="en-US" w:eastAsia="zh-CN"/>
        </w:rPr>
        <w:t xml:space="preserve">3</w:t>
      </w:r>
      <w:r>
        <w:rPr>
          <w:rStyle w:val="785"/>
          <w:rFonts w:hint="eastAsia" w:asciiTheme="minorEastAsia" w:hAnsiTheme="minorEastAsia" w:eastAsiaTheme="minorEastAsia" w:cstheme="minorEastAsia"/>
          <w:b w:val="0"/>
          <w:bCs w:val="0"/>
          <w:color w:val="auto"/>
          <w:sz w:val="24"/>
          <w:szCs w:val="24"/>
          <w:highlight w:val="none"/>
          <w:u w:val="single"/>
        </w:rPr>
        <w:t xml:space="preserve">）</w:t>
      </w:r>
      <w:r>
        <w:rPr>
          <w:rStyle w:val="785"/>
          <w:rFonts w:hint="eastAsia" w:asciiTheme="minorEastAsia" w:hAnsiTheme="minorEastAsia" w:eastAsiaTheme="minorEastAsia" w:cstheme="minorEastAsia"/>
          <w:b w:val="0"/>
          <w:bCs w:val="0"/>
          <w:color w:val="auto"/>
          <w:sz w:val="24"/>
          <w:szCs w:val="24"/>
          <w:highlight w:val="none"/>
        </w:rPr>
        <w:t xml:space="preserve">（简称乙方）</w:t>
      </w:r>
      <w:r/>
    </w:p>
    <w:p>
      <w:pPr>
        <w:pStyle w:val="1527"/>
        <w:ind w:right="471" w:firstLine="480"/>
        <w:jc w:val="both"/>
        <w:spacing w:before="1" w:line="440" w:lineRule="exact"/>
        <w:tabs>
          <w:tab w:val="left" w:pos="3277" w:leader="none"/>
        </w:tabs>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依照《中华人民共和国政府采购法》、《中华人民共和国民法典》、《中华人民共和国保险法》及其他有关法律、行政法规，遵循平等、自愿、公平和诚实信用的</w:t>
      </w:r>
      <w:r>
        <w:rPr>
          <w:rStyle w:val="785"/>
          <w:rFonts w:hint="eastAsia" w:asciiTheme="minorEastAsia" w:hAnsiTheme="minorEastAsia" w:eastAsiaTheme="minorEastAsia" w:cstheme="minorEastAsia"/>
          <w:b w:val="0"/>
          <w:bCs w:val="0"/>
          <w:color w:val="auto"/>
          <w:spacing w:val="-11"/>
          <w:sz w:val="24"/>
          <w:szCs w:val="24"/>
          <w:highlight w:val="none"/>
        </w:rPr>
        <w:t xml:space="preserve">原</w:t>
      </w:r>
      <w:r>
        <w:rPr>
          <w:rStyle w:val="785"/>
          <w:rFonts w:hint="eastAsia" w:asciiTheme="minorEastAsia" w:hAnsiTheme="minorEastAsia" w:eastAsiaTheme="minorEastAsia" w:cstheme="minorEastAsia"/>
          <w:b w:val="0"/>
          <w:bCs w:val="0"/>
          <w:color w:val="auto"/>
          <w:sz w:val="24"/>
          <w:szCs w:val="24"/>
          <w:highlight w:val="none"/>
        </w:rPr>
        <w:t xml:space="preserve">则，双方就</w:t>
      </w:r>
      <w:r>
        <w:rPr>
          <w:rStyle w:val="785"/>
          <w:rFonts w:hint="eastAsia" w:asciiTheme="minorEastAsia" w:hAnsiTheme="minorEastAsia" w:eastAsiaTheme="minorEastAsia" w:cstheme="minorEastAsia"/>
          <w:b w:val="0"/>
          <w:bCs w:val="0"/>
          <w:color w:val="auto"/>
          <w:sz w:val="24"/>
          <w:szCs w:val="24"/>
          <w:highlight w:val="none"/>
          <w:u w:val="single"/>
        </w:rPr>
        <w:tab/>
      </w:r>
      <w:r>
        <w:rPr>
          <w:rStyle w:val="785"/>
          <w:rFonts w:hint="eastAsia" w:asciiTheme="minorEastAsia" w:hAnsiTheme="minorEastAsia" w:eastAsiaTheme="minorEastAsia" w:cstheme="minorEastAsia"/>
          <w:b w:val="0"/>
          <w:bCs w:val="0"/>
          <w:color w:val="auto"/>
          <w:sz w:val="24"/>
          <w:szCs w:val="24"/>
          <w:highlight w:val="none"/>
          <w:u w:val="single"/>
        </w:rPr>
        <w:t xml:space="preserve">   </w:t>
      </w:r>
      <w:r>
        <w:rPr>
          <w:rStyle w:val="785"/>
          <w:rFonts w:hint="eastAsia" w:asciiTheme="minorEastAsia" w:hAnsiTheme="minorEastAsia" w:eastAsiaTheme="minorEastAsia" w:cstheme="minorEastAsia"/>
          <w:b w:val="0"/>
          <w:bCs w:val="0"/>
          <w:color w:val="auto"/>
          <w:sz w:val="24"/>
          <w:szCs w:val="24"/>
          <w:highlight w:val="none"/>
        </w:rPr>
        <w:t xml:space="preserve">号</w:t>
      </w:r>
      <w:r>
        <w:rPr>
          <w:rStyle w:val="785"/>
          <w:rFonts w:hint="eastAsia" w:asciiTheme="minorEastAsia" w:hAnsiTheme="minorEastAsia" w:eastAsiaTheme="minorEastAsia" w:cstheme="minorEastAsia"/>
          <w:b w:val="0"/>
          <w:bCs w:val="0"/>
          <w:color w:val="auto"/>
          <w:sz w:val="24"/>
          <w:szCs w:val="24"/>
          <w:highlight w:val="none"/>
          <w:u w:val="single"/>
          <w:lang w:eastAsia="zh-CN"/>
        </w:rPr>
        <w:t xml:space="preserve">泗洪县（202</w:t>
      </w:r>
      <w:r>
        <w:rPr>
          <w:rStyle w:val="785"/>
          <w:rFonts w:hint="eastAsia" w:asciiTheme="minorEastAsia" w:hAnsiTheme="minorEastAsia" w:eastAsiaTheme="minorEastAsia" w:cstheme="minorEastAsia"/>
          <w:b w:val="0"/>
          <w:bCs w:val="0"/>
          <w:color w:val="auto"/>
          <w:sz w:val="24"/>
          <w:szCs w:val="24"/>
          <w:highlight w:val="none"/>
          <w:u w:val="single"/>
          <w:lang w:val="en-US" w:eastAsia="zh-CN"/>
        </w:rPr>
        <w:t xml:space="preserve">6</w:t>
      </w:r>
      <w:r>
        <w:rPr>
          <w:rStyle w:val="785"/>
          <w:rFonts w:hint="eastAsia" w:asciiTheme="minorEastAsia" w:hAnsiTheme="minorEastAsia" w:eastAsiaTheme="minorEastAsia" w:cstheme="minorEastAsia"/>
          <w:b w:val="0"/>
          <w:bCs w:val="0"/>
          <w:color w:val="auto"/>
          <w:sz w:val="24"/>
          <w:szCs w:val="24"/>
          <w:highlight w:val="none"/>
          <w:u w:val="single"/>
          <w:lang w:eastAsia="zh-CN"/>
        </w:rPr>
        <w:t xml:space="preserve">-202</w:t>
      </w:r>
      <w:r>
        <w:rPr>
          <w:rStyle w:val="785"/>
          <w:rFonts w:hint="eastAsia" w:asciiTheme="minorEastAsia" w:hAnsiTheme="minorEastAsia" w:eastAsiaTheme="minorEastAsia" w:cstheme="minorEastAsia"/>
          <w:b w:val="0"/>
          <w:bCs w:val="0"/>
          <w:color w:val="auto"/>
          <w:sz w:val="24"/>
          <w:szCs w:val="24"/>
          <w:highlight w:val="none"/>
          <w:u w:val="single"/>
          <w:lang w:val="en-US" w:eastAsia="zh-CN"/>
        </w:rPr>
        <w:t xml:space="preserve">7</w:t>
      </w:r>
      <w:r>
        <w:rPr>
          <w:rStyle w:val="785"/>
          <w:rFonts w:hint="eastAsia" w:asciiTheme="minorEastAsia" w:hAnsiTheme="minorEastAsia" w:eastAsiaTheme="minorEastAsia" w:cstheme="minorEastAsia"/>
          <w:b w:val="0"/>
          <w:bCs w:val="0"/>
          <w:color w:val="auto"/>
          <w:sz w:val="24"/>
          <w:szCs w:val="24"/>
          <w:highlight w:val="none"/>
          <w:u w:val="single"/>
          <w:lang w:eastAsia="zh-CN"/>
        </w:rPr>
        <w:t xml:space="preserve">年度）残疾人综合意外险采购项目</w:t>
      </w:r>
      <w:r>
        <w:rPr>
          <w:rStyle w:val="785"/>
          <w:rFonts w:hint="eastAsia" w:asciiTheme="minorEastAsia" w:hAnsiTheme="minorEastAsia" w:eastAsiaTheme="minorEastAsia" w:cstheme="minorEastAsia"/>
          <w:b w:val="0"/>
          <w:bCs w:val="0"/>
          <w:color w:val="auto"/>
          <w:sz w:val="24"/>
          <w:szCs w:val="24"/>
          <w:highlight w:val="none"/>
        </w:rPr>
        <w:t xml:space="preserve">相关事项协商一致，达</w:t>
      </w:r>
      <w:r>
        <w:rPr>
          <w:rStyle w:val="785"/>
          <w:rFonts w:hint="eastAsia" w:asciiTheme="minorEastAsia" w:hAnsiTheme="minorEastAsia" w:eastAsiaTheme="minorEastAsia" w:cstheme="minorEastAsia"/>
          <w:b w:val="0"/>
          <w:bCs w:val="0"/>
          <w:color w:val="auto"/>
          <w:spacing w:val="-14"/>
          <w:sz w:val="24"/>
          <w:szCs w:val="24"/>
          <w:highlight w:val="none"/>
        </w:rPr>
        <w:t xml:space="preserve">成</w:t>
      </w:r>
      <w:r>
        <w:rPr>
          <w:rStyle w:val="785"/>
          <w:rFonts w:hint="eastAsia" w:asciiTheme="minorEastAsia" w:hAnsiTheme="minorEastAsia" w:eastAsiaTheme="minorEastAsia" w:cstheme="minorEastAsia"/>
          <w:b w:val="0"/>
          <w:bCs w:val="0"/>
          <w:color w:val="auto"/>
          <w:sz w:val="24"/>
          <w:szCs w:val="24"/>
          <w:highlight w:val="none"/>
        </w:rPr>
        <w:t xml:space="preserve">如下合同条款：</w:t>
      </w:r>
      <w:r/>
    </w:p>
    <w:p>
      <w:pPr>
        <w:pStyle w:val="1487"/>
        <w:numPr>
          <w:ilvl w:val="0"/>
          <w:numId w:val="0"/>
        </w:numPr>
        <w:ind w:firstLine="482"/>
        <w:spacing w:line="360" w:lineRule="auto"/>
        <w:rPr>
          <w:rFonts w:hint="eastAsia" w:ascii="宋体" w:hAnsi="宋体" w:eastAsia="宋体" w:cs="宋体"/>
          <w:b/>
          <w:bCs/>
          <w:color w:val="auto"/>
          <w:sz w:val="24"/>
          <w:highlight w:val="none"/>
          <w:u w:val="none"/>
          <w:lang w:eastAsia="zh-CN"/>
        </w:rPr>
      </w:pPr>
      <w:r>
        <w:rPr>
          <w:rFonts w:hint="eastAsia" w:ascii="宋体" w:hAnsi="宋体" w:cs="宋体"/>
          <w:b/>
          <w:bCs/>
          <w:color w:val="auto"/>
          <w:sz w:val="24"/>
          <w:highlight w:val="none"/>
          <w:u w:val="none"/>
          <w:lang w:val="en-US" w:eastAsia="zh-CN"/>
        </w:rPr>
        <w:t xml:space="preserve">一、</w:t>
      </w:r>
      <w:r>
        <w:rPr>
          <w:rFonts w:hint="eastAsia" w:ascii="宋体" w:hAnsi="宋体" w:eastAsia="宋体" w:cs="宋体"/>
          <w:b/>
          <w:bCs/>
          <w:color w:val="auto"/>
          <w:sz w:val="24"/>
          <w:highlight w:val="none"/>
          <w:u w:val="none"/>
          <w:lang w:val="en-US" w:eastAsia="zh-CN"/>
        </w:rPr>
        <w:t xml:space="preserve">乙方向甲方提供</w:t>
      </w:r>
      <w:r>
        <w:rPr>
          <w:rFonts w:hint="eastAsia" w:ascii="宋体" w:hAnsi="宋体" w:eastAsia="宋体" w:cs="宋体"/>
          <w:b/>
          <w:bCs/>
          <w:color w:val="auto"/>
          <w:sz w:val="24"/>
          <w:highlight w:val="none"/>
          <w:u w:val="none"/>
          <w:lang w:eastAsia="zh-CN"/>
        </w:rPr>
        <w:t xml:space="preserve">保费单价限价为</w:t>
      </w:r>
      <w:r>
        <w:rPr>
          <w:rFonts w:hint="eastAsia" w:ascii="宋体" w:hAnsi="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u w:val="none"/>
          <w:lang w:eastAsia="zh-CN"/>
        </w:rPr>
        <w:t xml:space="preserve">（本项目各险种保费为固定单价，每年按实际符合</w:t>
      </w:r>
      <w:r>
        <w:rPr>
          <w:rFonts w:hint="eastAsia" w:ascii="宋体" w:hAnsi="宋体" w:eastAsia="宋体" w:cs="宋体"/>
          <w:b/>
          <w:bCs/>
          <w:color w:val="auto"/>
          <w:sz w:val="24"/>
          <w:highlight w:val="none"/>
          <w:u w:val="none"/>
          <w:lang w:val="en-US" w:eastAsia="zh-CN"/>
        </w:rPr>
        <w:t xml:space="preserve">参保条件的</w:t>
      </w:r>
      <w:r>
        <w:rPr>
          <w:rFonts w:hint="eastAsia" w:ascii="宋体" w:hAnsi="宋体" w:eastAsia="宋体" w:cs="宋体"/>
          <w:b/>
          <w:bCs/>
          <w:color w:val="auto"/>
          <w:sz w:val="24"/>
          <w:highlight w:val="none"/>
          <w:u w:val="none"/>
          <w:lang w:eastAsia="zh-CN"/>
        </w:rPr>
        <w:t xml:space="preserve">对象数支付保险费）</w:t>
      </w:r>
      <w:r>
        <w:rPr>
          <w:rFonts w:hint="eastAsia" w:ascii="宋体" w:hAnsi="宋体" w:eastAsia="宋体" w:cs="宋体"/>
          <w:b/>
          <w:bCs/>
          <w:color w:val="auto"/>
          <w:sz w:val="24"/>
          <w:highlight w:val="none"/>
          <w:u w:val="none"/>
          <w:lang w:val="en-US" w:eastAsia="zh-CN"/>
        </w:rPr>
        <w:t xml:space="preserve">的标的（服务）。</w:t>
      </w:r>
      <w:r/>
    </w:p>
    <w:tbl>
      <w:tblPr>
        <w:tblStyle w:val="786"/>
        <w:tblW w:w="8873" w:type="dxa"/>
        <w:tblInd w:w="-15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8"/>
        <w:gridCol w:w="938"/>
        <w:gridCol w:w="3659"/>
        <w:gridCol w:w="1224"/>
        <w:gridCol w:w="976"/>
        <w:gridCol w:w="1228"/>
      </w:tblGrid>
      <w:tr>
        <w:trPr>
          <w:trHeight w:val="300"/>
        </w:trPr>
        <w:tc>
          <w:tcPr>
            <w:shd w:val="clear" w:color="auto" w:fill="auto"/>
            <w:tcBorders>
              <w:top w:val="single" w:color="000000" w:sz="8" w:space="0"/>
              <w:left w:val="single" w:color="000000" w:sz="8" w:space="0"/>
              <w:bottom w:val="single" w:color="000000" w:sz="8" w:space="0"/>
              <w:right w:val="single" w:color="000000" w:sz="8"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938"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采购包名称</w:t>
            </w:r>
            <w:r/>
          </w:p>
        </w:tc>
        <w:tc>
          <w:tcPr>
            <w:shd w:val="clear" w:color="auto" w:fill="auto"/>
            <w:tcBorders>
              <w:top w:val="single" w:color="000000" w:sz="8" w:space="0"/>
              <w:left w:val="single" w:color="000000" w:sz="8" w:space="0"/>
              <w:bottom w:val="single" w:color="000000" w:sz="8" w:space="0"/>
              <w:right w:val="single" w:color="000000" w:sz="8" w:space="0"/>
            </w:tcBorders>
            <w:tcW w:w="365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保险服务范围</w:t>
            </w:r>
            <w:r/>
          </w:p>
        </w:tc>
        <w:tc>
          <w:tcPr>
            <w:shd w:val="clear" w:color="auto" w:fill="auto"/>
            <w:tcBorders>
              <w:top w:val="single" w:color="000000" w:sz="8" w:space="0"/>
              <w:left w:val="single" w:color="000000" w:sz="8" w:space="0"/>
              <w:bottom w:val="single" w:color="000000" w:sz="8" w:space="0"/>
              <w:right w:val="single" w:color="000000" w:sz="8" w:space="0"/>
            </w:tcBorders>
            <w:tcW w:w="122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两年保费预算价</w:t>
            </w:r>
            <w:r/>
          </w:p>
        </w:tc>
        <w:tc>
          <w:tcPr>
            <w:shd w:val="clear" w:color="auto" w:fill="auto"/>
            <w:tcBorders>
              <w:top w:val="single" w:color="000000" w:sz="8" w:space="0"/>
              <w:left w:val="single" w:color="000000" w:sz="8" w:space="0"/>
              <w:bottom w:val="single" w:color="000000" w:sz="8" w:space="0"/>
              <w:right w:val="single" w:color="000000" w:sz="8"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承保人数比例</w:t>
            </w:r>
            <w:r/>
          </w:p>
        </w:tc>
        <w:tc>
          <w:tcPr>
            <w:shd w:val="clear" w:color="auto" w:fill="auto"/>
            <w:tcBorders>
              <w:top w:val="single" w:color="000000" w:sz="8" w:space="0"/>
              <w:left w:val="single" w:color="000000" w:sz="8" w:space="0"/>
              <w:bottom w:val="single" w:color="000000" w:sz="8" w:space="0"/>
              <w:right w:val="single" w:color="000000" w:sz="8" w:space="0"/>
            </w:tcBorders>
            <w:tcW w:w="1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持证残疾人数</w:t>
            </w:r>
            <w:r/>
          </w:p>
        </w:tc>
      </w:tr>
      <w:tr>
        <w:trPr>
          <w:trHeight w:val="1088"/>
        </w:trPr>
        <w:tc>
          <w:tcPr>
            <w:shd w:val="clear" w:color="auto" w:fill="auto"/>
            <w:tcBorders>
              <w:top w:val="none" w:color="000000" w:sz="4" w:space="0"/>
              <w:left w:val="single" w:color="000000" w:sz="8" w:space="0"/>
              <w:bottom w:val="single" w:color="000000" w:sz="8" w:space="0"/>
              <w:right w:val="single" w:color="000000" w:sz="8"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9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分包1</w:t>
            </w:r>
            <w:r/>
          </w:p>
        </w:tc>
        <w:tc>
          <w:tcPr>
            <w:shd w:val="clear" w:color="auto" w:fill="auto"/>
            <w:tcBorders>
              <w:top w:val="none" w:color="000000" w:sz="4" w:space="0"/>
              <w:left w:val="single" w:color="000000" w:sz="8" w:space="0"/>
              <w:bottom w:val="single" w:color="000000" w:sz="8" w:space="0"/>
              <w:right w:val="single" w:color="000000" w:sz="8" w:space="0"/>
            </w:tcBorders>
            <w:tcW w:w="3659"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承担的区域有:</w:t>
            </w:r>
            <w:r>
              <w:rPr>
                <w:rFonts w:hint="eastAsia" w:ascii="宋体" w:hAnsi="宋体" w:eastAsia="宋体" w:cs="宋体"/>
                <w:color w:val="auto"/>
                <w:sz w:val="24"/>
                <w:highlight w:val="none"/>
              </w:rPr>
              <w:t xml:space="preserve">大楼街道、石集</w:t>
            </w:r>
            <w:r>
              <w:rPr>
                <w:rFonts w:hint="eastAsia" w:ascii="宋体" w:hAnsi="宋体" w:eastAsia="宋体" w:cs="宋体"/>
                <w:color w:val="auto"/>
                <w:sz w:val="24"/>
                <w:highlight w:val="none"/>
                <w:lang w:eastAsia="zh-CN"/>
              </w:rPr>
              <w:t xml:space="preserve">乡</w:t>
            </w:r>
            <w:r>
              <w:rPr>
                <w:rFonts w:hint="eastAsia" w:ascii="宋体" w:hAnsi="宋体" w:eastAsia="宋体" w:cs="宋体"/>
                <w:color w:val="auto"/>
                <w:sz w:val="24"/>
                <w:highlight w:val="none"/>
              </w:rPr>
              <w:t xml:space="preserve">、临淮镇、半城镇、龙集镇、界集镇</w:t>
            </w:r>
            <w:r>
              <w:rPr>
                <w:rFonts w:hint="eastAsia" w:ascii="宋体" w:hAnsi="宋体" w:eastAsia="宋体" w:cs="宋体"/>
                <w:color w:val="auto"/>
                <w:sz w:val="24"/>
                <w:highlight w:val="none"/>
                <w:lang w:eastAsia="zh-CN"/>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88.4</w:t>
            </w:r>
            <w:r>
              <w:rPr>
                <w:rFonts w:hint="eastAsia" w:ascii="宋体" w:hAnsi="宋体" w:eastAsia="宋体" w:cs="宋体"/>
                <w:i w:val="0"/>
                <w:iCs w:val="0"/>
                <w:color w:val="auto"/>
                <w:sz w:val="22"/>
                <w:szCs w:val="22"/>
                <w:highlight w:val="none"/>
                <w:u w:val="none"/>
                <w:lang w:val="en-US" w:eastAsia="zh-CN" w:bidi="ar"/>
              </w:rPr>
              <w:t xml:space="preserve">万元</w:t>
            </w:r>
            <w:r/>
          </w:p>
        </w:tc>
        <w:tc>
          <w:tcPr>
            <w:shd w:val="clear" w:color="auto" w:fill="auto"/>
            <w:tcBorders>
              <w:top w:val="none" w:color="000000" w:sz="4" w:space="0"/>
              <w:left w:val="single" w:color="000000" w:sz="8" w:space="0"/>
              <w:bottom w:val="single" w:color="000000" w:sz="8" w:space="0"/>
              <w:right w:val="single" w:color="000000" w:sz="8"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35</w:t>
            </w: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11050人</w:t>
            </w:r>
            <w:r/>
          </w:p>
        </w:tc>
      </w:tr>
      <w:tr>
        <w:trPr>
          <w:trHeight w:val="871"/>
        </w:trPr>
        <w:tc>
          <w:tcPr>
            <w:shd w:val="clear" w:color="auto" w:fill="auto"/>
            <w:tcBorders>
              <w:top w:val="none" w:color="000000" w:sz="4" w:space="0"/>
              <w:left w:val="single" w:color="000000" w:sz="8" w:space="0"/>
              <w:bottom w:val="single" w:color="000000" w:sz="8" w:space="0"/>
              <w:right w:val="single" w:color="000000" w:sz="8"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9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分包2</w:t>
            </w:r>
            <w:r/>
          </w:p>
        </w:tc>
        <w:tc>
          <w:tcPr>
            <w:shd w:val="clear" w:color="auto" w:fill="auto"/>
            <w:tcBorders>
              <w:top w:val="none" w:color="000000" w:sz="4" w:space="0"/>
              <w:left w:val="single" w:color="000000" w:sz="8" w:space="0"/>
              <w:bottom w:val="single" w:color="000000" w:sz="8" w:space="0"/>
              <w:right w:val="single" w:color="000000" w:sz="8" w:space="0"/>
            </w:tcBorders>
            <w:tcW w:w="3659"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承担的区域有</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color w:val="auto"/>
                <w:sz w:val="24"/>
                <w:highlight w:val="none"/>
              </w:rPr>
              <w:t xml:space="preserve">青阳</w:t>
            </w:r>
            <w:r>
              <w:rPr>
                <w:rFonts w:hint="eastAsia" w:ascii="宋体" w:hAnsi="宋体" w:eastAsia="宋体" w:cs="宋体"/>
                <w:color w:val="auto"/>
                <w:sz w:val="24"/>
                <w:highlight w:val="none"/>
                <w:lang w:eastAsia="zh-CN"/>
              </w:rPr>
              <w:t xml:space="preserve">街道</w:t>
            </w:r>
            <w:r>
              <w:rPr>
                <w:rFonts w:hint="eastAsia" w:ascii="宋体" w:hAnsi="宋体" w:eastAsia="宋体" w:cs="宋体"/>
                <w:color w:val="auto"/>
                <w:sz w:val="24"/>
                <w:highlight w:val="none"/>
              </w:rPr>
              <w:t xml:space="preserve">、上塘镇、双沟镇、瑶沟乡、天岗湖乡、孙园镇、洪泽湖农场</w:t>
            </w:r>
            <w:r>
              <w:rPr>
                <w:rFonts w:hint="eastAsia" w:ascii="宋体" w:hAnsi="宋体" w:eastAsia="宋体" w:cs="宋体"/>
                <w:color w:val="auto"/>
                <w:sz w:val="24"/>
                <w:highlight w:val="none"/>
                <w:lang w:eastAsia="zh-CN"/>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88.4</w:t>
            </w:r>
            <w:r>
              <w:rPr>
                <w:rFonts w:hint="eastAsia" w:ascii="宋体" w:hAnsi="宋体" w:eastAsia="宋体" w:cs="宋体"/>
                <w:i w:val="0"/>
                <w:iCs w:val="0"/>
                <w:color w:val="auto"/>
                <w:sz w:val="22"/>
                <w:szCs w:val="22"/>
                <w:highlight w:val="none"/>
                <w:u w:val="none"/>
                <w:lang w:val="en-US" w:eastAsia="zh-CN" w:bidi="ar"/>
              </w:rPr>
              <w:t xml:space="preserve">万元</w:t>
            </w:r>
            <w:r/>
          </w:p>
        </w:tc>
        <w:tc>
          <w:tcPr>
            <w:shd w:val="clear" w:color="auto" w:fill="auto"/>
            <w:tcBorders>
              <w:top w:val="none" w:color="000000" w:sz="4" w:space="0"/>
              <w:left w:val="single" w:color="000000" w:sz="8" w:space="0"/>
              <w:bottom w:val="single" w:color="000000" w:sz="8" w:space="0"/>
              <w:right w:val="single" w:color="000000" w:sz="8"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35</w:t>
            </w: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11050人</w:t>
            </w:r>
            <w:r/>
          </w:p>
        </w:tc>
      </w:tr>
      <w:tr>
        <w:trPr>
          <w:trHeight w:val="1029"/>
        </w:trPr>
        <w:tc>
          <w:tcPr>
            <w:shd w:val="clear" w:color="auto" w:fill="auto"/>
            <w:tcBorders>
              <w:top w:val="none" w:color="000000" w:sz="4" w:space="0"/>
              <w:left w:val="single" w:color="000000" w:sz="8" w:space="0"/>
              <w:bottom w:val="single" w:color="000000" w:sz="8" w:space="0"/>
              <w:right w:val="single" w:color="000000" w:sz="8" w:space="0"/>
            </w:tcBorders>
            <w:tcW w:w="84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9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分包3</w:t>
            </w:r>
            <w:r/>
          </w:p>
        </w:tc>
        <w:tc>
          <w:tcPr>
            <w:shd w:val="clear" w:color="auto" w:fill="auto"/>
            <w:tcBorders>
              <w:top w:val="none" w:color="000000" w:sz="4" w:space="0"/>
              <w:left w:val="single" w:color="000000" w:sz="8" w:space="0"/>
              <w:bottom w:val="single" w:color="000000" w:sz="8" w:space="0"/>
              <w:right w:val="single" w:color="000000" w:sz="8" w:space="0"/>
            </w:tcBorders>
            <w:tcW w:w="3659"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承担的区域有</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color w:val="auto"/>
                <w:sz w:val="24"/>
                <w:highlight w:val="none"/>
              </w:rPr>
              <w:t xml:space="preserve">重岗街道、梅花镇、归仁镇、金锁镇、朱湖镇、车门乡、魏营镇</w:t>
            </w: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224"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75.2万元</w:t>
            </w:r>
            <w:r/>
          </w:p>
        </w:tc>
        <w:tc>
          <w:tcPr>
            <w:shd w:val="clear" w:color="auto" w:fill="auto"/>
            <w:tcBorders>
              <w:top w:val="none" w:color="000000" w:sz="4" w:space="0"/>
              <w:left w:val="single" w:color="000000" w:sz="8" w:space="0"/>
              <w:bottom w:val="single" w:color="000000" w:sz="8" w:space="0"/>
              <w:right w:val="single" w:color="000000" w:sz="8" w:space="0"/>
            </w:tcBorders>
            <w:tcW w:w="97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122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w:t>
            </w:r>
            <w:r>
              <w:rPr>
                <w:rFonts w:hint="eastAsia" w:ascii="宋体" w:hAnsi="宋体" w:cs="宋体"/>
                <w:i w:val="0"/>
                <w:iCs w:val="0"/>
                <w:color w:val="auto"/>
                <w:sz w:val="24"/>
                <w:szCs w:val="24"/>
                <w:highlight w:val="none"/>
                <w:u w:val="none"/>
                <w:lang w:val="en-US" w:eastAsia="zh-CN" w:bidi="ar"/>
              </w:rPr>
              <w:t xml:space="preserve">00</w:t>
            </w:r>
            <w:r>
              <w:rPr>
                <w:rFonts w:hint="eastAsia" w:ascii="宋体" w:hAnsi="宋体" w:eastAsia="宋体" w:cs="宋体"/>
                <w:i w:val="0"/>
                <w:iCs w:val="0"/>
                <w:color w:val="auto"/>
                <w:sz w:val="24"/>
                <w:szCs w:val="24"/>
                <w:highlight w:val="none"/>
                <w:u w:val="none"/>
                <w:lang w:val="en-US" w:eastAsia="zh-CN" w:bidi="ar"/>
              </w:rPr>
              <w:t xml:space="preserve">人</w:t>
            </w:r>
            <w:r/>
          </w:p>
        </w:tc>
      </w:tr>
    </w:tbl>
    <w:p>
      <w:pPr>
        <w:pStyle w:val="1557"/>
        <w:ind w:left="0" w:firstLine="482"/>
        <w:spacing w:before="151" w:line="440" w:lineRule="exact"/>
        <w:rPr>
          <w:rStyle w:val="785"/>
          <w:rFonts w:hint="eastAsia" w:asciiTheme="minorEastAsia" w:hAnsiTheme="minorEastAsia" w:eastAsiaTheme="minorEastAsia" w:cstheme="minorEastAsia"/>
          <w:b/>
          <w:bCs/>
          <w:color w:val="auto"/>
          <w:sz w:val="24"/>
          <w:szCs w:val="24"/>
          <w:highlight w:val="none"/>
        </w:rPr>
      </w:pPr>
      <w:r>
        <w:rPr>
          <w:rStyle w:val="785"/>
          <w:rFonts w:hint="eastAsia" w:asciiTheme="minorEastAsia" w:hAnsiTheme="minorEastAsia" w:eastAsiaTheme="minorEastAsia" w:cstheme="minorEastAsia"/>
          <w:b/>
          <w:bCs/>
          <w:color w:val="auto"/>
          <w:sz w:val="24"/>
          <w:szCs w:val="24"/>
          <w:highlight w:val="none"/>
          <w:lang w:val="en-US" w:eastAsia="zh-CN"/>
        </w:rPr>
        <w:t xml:space="preserve">二</w:t>
      </w:r>
      <w:r>
        <w:rPr>
          <w:rStyle w:val="785"/>
          <w:rFonts w:hint="eastAsia" w:asciiTheme="minorEastAsia" w:hAnsiTheme="minorEastAsia" w:eastAsiaTheme="minorEastAsia" w:cstheme="minorEastAsia"/>
          <w:b/>
          <w:bCs/>
          <w:color w:val="auto"/>
          <w:sz w:val="24"/>
          <w:szCs w:val="24"/>
          <w:highlight w:val="none"/>
        </w:rPr>
        <w:t xml:space="preserve">、投保人、保险人、被保险人</w:t>
      </w:r>
      <w:r/>
    </w:p>
    <w:p>
      <w:pPr>
        <w:pStyle w:val="1527"/>
        <w:ind w:right="471" w:firstLine="480"/>
        <w:jc w:val="both"/>
        <w:spacing w:before="1" w:line="440" w:lineRule="exact"/>
        <w:tabs>
          <w:tab w:val="left" w:pos="3277" w:leader="none"/>
        </w:tabs>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（一）投保人为甲方，统一负责使用财政专项资金为被保险人向乙方投保</w:t>
      </w:r>
      <w:r>
        <w:rPr>
          <w:rStyle w:val="785"/>
          <w:rFonts w:hint="eastAsia" w:asciiTheme="minorEastAsia" w:hAnsiTheme="minorEastAsia" w:eastAsiaTheme="minorEastAsia" w:cstheme="minorEastAsia"/>
          <w:b w:val="0"/>
          <w:bCs w:val="0"/>
          <w:color w:val="auto"/>
          <w:sz w:val="24"/>
          <w:szCs w:val="24"/>
          <w:highlight w:val="none"/>
          <w:lang w:eastAsia="zh-CN"/>
        </w:rPr>
        <w:t xml:space="preserve">泗洪县</w:t>
      </w:r>
      <w:r>
        <w:rPr>
          <w:rStyle w:val="785"/>
          <w:rFonts w:hint="eastAsia" w:asciiTheme="minorEastAsia" w:hAnsiTheme="minorEastAsia" w:eastAsiaTheme="minorEastAsia" w:cstheme="minorEastAsia"/>
          <w:b w:val="0"/>
          <w:bCs w:val="0"/>
          <w:color w:val="auto"/>
          <w:sz w:val="24"/>
          <w:szCs w:val="24"/>
          <w:highlight w:val="none"/>
        </w:rPr>
        <w:t xml:space="preserve">残疾人综合意外险。</w:t>
      </w:r>
      <w:r/>
    </w:p>
    <w:p>
      <w:pPr>
        <w:pStyle w:val="1527"/>
        <w:ind w:right="471" w:firstLine="480"/>
        <w:jc w:val="both"/>
        <w:spacing w:before="1" w:line="440" w:lineRule="exact"/>
        <w:tabs>
          <w:tab w:val="left" w:pos="3277" w:leader="none"/>
        </w:tabs>
        <w:rPr>
          <w:rStyle w:val="785"/>
          <w:rFonts w:hint="eastAsia" w:asciiTheme="minorEastAsia" w:hAnsiTheme="minorEastAsia" w:eastAsiaTheme="minorEastAsia" w:cstheme="minorEastAsia"/>
          <w:b w:val="0"/>
          <w:bCs w:val="0"/>
          <w:color w:val="auto"/>
          <w:sz w:val="24"/>
          <w:szCs w:val="24"/>
          <w:highlight w:val="none"/>
          <w:lang w:val="en-US" w:eastAsia="zh-CN"/>
        </w:rPr>
      </w:pPr>
      <w:r>
        <w:rPr>
          <w:rStyle w:val="785"/>
          <w:rFonts w:hint="eastAsia" w:asciiTheme="minorEastAsia" w:hAnsiTheme="minorEastAsia" w:eastAsiaTheme="minorEastAsia" w:cstheme="minorEastAsia"/>
          <w:b w:val="0"/>
          <w:bCs w:val="0"/>
          <w:color w:val="auto"/>
          <w:sz w:val="24"/>
          <w:szCs w:val="24"/>
          <w:highlight w:val="none"/>
        </w:rPr>
        <w:t xml:space="preserve">（二）保险人为乙方，负责</w:t>
      </w:r>
      <w:r>
        <w:rPr>
          <w:rStyle w:val="785"/>
          <w:rFonts w:hint="eastAsia" w:asciiTheme="minorEastAsia" w:hAnsiTheme="minorEastAsia" w:eastAsiaTheme="minorEastAsia" w:cstheme="minorEastAsia"/>
          <w:b w:val="0"/>
          <w:bCs w:val="0"/>
          <w:color w:val="auto"/>
          <w:sz w:val="24"/>
          <w:szCs w:val="24"/>
          <w:highlight w:val="none"/>
          <w:lang w:eastAsia="zh-CN"/>
        </w:rPr>
        <w:t xml:space="preserve">泗洪县</w:t>
      </w:r>
      <w:r>
        <w:rPr>
          <w:rStyle w:val="785"/>
          <w:rFonts w:hint="eastAsia" w:asciiTheme="minorEastAsia" w:hAnsiTheme="minorEastAsia" w:eastAsiaTheme="minorEastAsia" w:cstheme="minorEastAsia"/>
          <w:b w:val="0"/>
          <w:bCs w:val="0"/>
          <w:color w:val="auto"/>
          <w:sz w:val="24"/>
          <w:szCs w:val="24"/>
          <w:highlight w:val="none"/>
        </w:rPr>
        <w:t xml:space="preserve">残疾人综合意外险的承保，并按照本合同条款履行保险责任。</w:t>
      </w:r>
      <w:r>
        <w:rPr>
          <w:rStyle w:val="785"/>
          <w:rFonts w:hint="eastAsia" w:asciiTheme="minorEastAsia" w:hAnsiTheme="minorEastAsia" w:eastAsiaTheme="minorEastAsia" w:cstheme="minorEastAsia"/>
          <w:b w:val="0"/>
          <w:bCs w:val="0"/>
          <w:color w:val="auto"/>
          <w:sz w:val="24"/>
          <w:szCs w:val="24"/>
          <w:highlight w:val="none"/>
          <w:lang w:eastAsia="zh-CN"/>
        </w:rPr>
        <w:t xml:space="preserve">（</w:t>
      </w:r>
      <w:r>
        <w:rPr>
          <w:rStyle w:val="785"/>
          <w:rFonts w:hint="eastAsia" w:asciiTheme="minorEastAsia" w:hAnsiTheme="minorEastAsia" w:eastAsiaTheme="minorEastAsia" w:cstheme="minorEastAsia"/>
          <w:b w:val="0"/>
          <w:bCs w:val="0"/>
          <w:color w:val="auto"/>
          <w:sz w:val="24"/>
          <w:szCs w:val="24"/>
          <w:highlight w:val="none"/>
          <w:lang w:val="en-US" w:eastAsia="zh-CN"/>
        </w:rPr>
        <w:t xml:space="preserve">乙方同时履行响应文件中承诺事项）</w:t>
      </w:r>
      <w:r/>
    </w:p>
    <w:p>
      <w:pPr>
        <w:pStyle w:val="1557"/>
        <w:ind w:left="0" w:firstLine="482"/>
        <w:spacing w:before="151" w:line="440" w:lineRule="exact"/>
        <w:rPr>
          <w:rStyle w:val="785"/>
          <w:rFonts w:hint="eastAsia" w:asciiTheme="minorEastAsia" w:hAnsiTheme="minorEastAsia" w:eastAsiaTheme="minorEastAsia" w:cstheme="minorEastAsia"/>
          <w:b/>
          <w:bCs/>
          <w:color w:val="auto"/>
          <w:sz w:val="24"/>
          <w:szCs w:val="24"/>
          <w:highlight w:val="none"/>
        </w:rPr>
      </w:pPr>
      <w:r>
        <w:rPr>
          <w:rStyle w:val="785"/>
          <w:rFonts w:hint="eastAsia" w:asciiTheme="minorEastAsia" w:hAnsiTheme="minorEastAsia" w:eastAsiaTheme="minorEastAsia" w:cstheme="minorEastAsia"/>
          <w:b/>
          <w:bCs/>
          <w:color w:val="auto"/>
          <w:sz w:val="24"/>
          <w:szCs w:val="24"/>
          <w:highlight w:val="none"/>
          <w:lang w:val="en-US" w:eastAsia="zh-CN"/>
        </w:rPr>
        <w:t xml:space="preserve">三</w:t>
      </w:r>
      <w:r>
        <w:rPr>
          <w:rStyle w:val="785"/>
          <w:rFonts w:hint="eastAsia" w:asciiTheme="minorEastAsia" w:hAnsiTheme="minorEastAsia" w:eastAsiaTheme="minorEastAsia" w:cstheme="minorEastAsia"/>
          <w:b/>
          <w:bCs/>
          <w:color w:val="auto"/>
          <w:sz w:val="24"/>
          <w:szCs w:val="24"/>
          <w:highlight w:val="none"/>
        </w:rPr>
        <w:t xml:space="preserve">、保险期限、保险范围、赔付比例</w:t>
      </w:r>
      <w:r/>
    </w:p>
    <w:p>
      <w:pPr>
        <w:pStyle w:val="1415"/>
        <w:ind w:firstLine="480"/>
        <w:spacing w:line="440" w:lineRule="exact"/>
        <w:rPr>
          <w:rStyle w:val="785"/>
          <w:rFonts w:hint="eastAsia" w:asciiTheme="minorEastAsia" w:hAnsiTheme="minorEastAsia" w:eastAsiaTheme="minorEastAsia" w:cstheme="minorEastAsia"/>
          <w:b w:val="0"/>
          <w:bCs w:val="0"/>
          <w:color w:val="auto"/>
          <w:sz w:val="24"/>
          <w:szCs w:val="24"/>
          <w:highlight w:val="none"/>
          <w:lang w:val="zh-CN" w:bidi="zh-CN"/>
        </w:rPr>
      </w:pPr>
      <w:r>
        <w:rPr>
          <w:rStyle w:val="785"/>
          <w:rFonts w:hint="eastAsia" w:asciiTheme="minorEastAsia" w:hAnsiTheme="minorEastAsia" w:eastAsiaTheme="minorEastAsia" w:cstheme="minorEastAsia"/>
          <w:b w:val="0"/>
          <w:bCs w:val="0"/>
          <w:color w:val="auto"/>
          <w:sz w:val="24"/>
          <w:szCs w:val="24"/>
          <w:highlight w:val="none"/>
          <w:lang w:val="zh-CN" w:bidi="zh-CN"/>
        </w:rPr>
        <w:t xml:space="preserve">（一）保险期限</w:t>
      </w:r>
      <w:r/>
    </w:p>
    <w:p>
      <w:pPr>
        <w:pStyle w:val="1415"/>
        <w:ind w:firstLine="720"/>
        <w:spacing w:line="440" w:lineRule="exact"/>
        <w:rPr>
          <w:rStyle w:val="785"/>
          <w:rFonts w:hint="eastAsia" w:asciiTheme="minorEastAsia" w:hAnsiTheme="minorEastAsia" w:eastAsiaTheme="minorEastAsia" w:cstheme="minorEastAsia"/>
          <w:b w:val="0"/>
          <w:bCs w:val="0"/>
          <w:color w:val="auto"/>
          <w:sz w:val="24"/>
          <w:szCs w:val="24"/>
          <w:highlight w:val="none"/>
          <w:lang w:val="zh-CN" w:bidi="zh-CN"/>
        </w:rPr>
      </w:pPr>
      <w:r>
        <w:rPr>
          <w:rStyle w:val="785"/>
          <w:rFonts w:hint="eastAsia" w:asciiTheme="minorEastAsia" w:hAnsiTheme="minorEastAsia" w:eastAsiaTheme="minorEastAsia" w:cstheme="minorEastAsia"/>
          <w:b w:val="0"/>
          <w:bCs w:val="0"/>
          <w:color w:val="auto"/>
          <w:sz w:val="24"/>
          <w:szCs w:val="24"/>
          <w:highlight w:val="none"/>
          <w:lang w:val="zh-CN" w:bidi="zh-CN"/>
        </w:rPr>
        <w:t xml:space="preserve">1. 本项目中标合同期为两年，自202</w:t>
      </w:r>
      <w:r>
        <w:rPr>
          <w:rStyle w:val="785"/>
          <w:rFonts w:hint="eastAsia" w:asciiTheme="minorEastAsia" w:hAnsiTheme="minorEastAsia" w:eastAsiaTheme="minorEastAsia" w:cstheme="minorEastAsia"/>
          <w:b w:val="0"/>
          <w:bCs w:val="0"/>
          <w:color w:val="auto"/>
          <w:sz w:val="24"/>
          <w:szCs w:val="24"/>
          <w:highlight w:val="none"/>
          <w:lang w:val="en-US" w:bidi="zh-CN"/>
        </w:rPr>
        <w:t xml:space="preserve">6</w:t>
      </w:r>
      <w:r>
        <w:rPr>
          <w:rStyle w:val="785"/>
          <w:rFonts w:hint="eastAsia" w:asciiTheme="minorEastAsia" w:hAnsiTheme="minorEastAsia" w:eastAsiaTheme="minorEastAsia" w:cstheme="minorEastAsia"/>
          <w:b w:val="0"/>
          <w:bCs w:val="0"/>
          <w:color w:val="auto"/>
          <w:sz w:val="24"/>
          <w:szCs w:val="24"/>
          <w:highlight w:val="none"/>
          <w:lang w:val="zh-CN" w:bidi="zh-CN"/>
        </w:rPr>
        <w:t xml:space="preserve">年01月01日起至202</w:t>
      </w:r>
      <w:r>
        <w:rPr>
          <w:rStyle w:val="785"/>
          <w:rFonts w:hint="eastAsia" w:asciiTheme="minorEastAsia" w:hAnsiTheme="minorEastAsia" w:eastAsiaTheme="minorEastAsia" w:cstheme="minorEastAsia"/>
          <w:b w:val="0"/>
          <w:bCs w:val="0"/>
          <w:color w:val="auto"/>
          <w:sz w:val="24"/>
          <w:szCs w:val="24"/>
          <w:highlight w:val="none"/>
          <w:lang w:val="en-US" w:bidi="zh-CN"/>
        </w:rPr>
        <w:t xml:space="preserve">7</w:t>
      </w:r>
      <w:r>
        <w:rPr>
          <w:rStyle w:val="785"/>
          <w:rFonts w:hint="eastAsia" w:asciiTheme="minorEastAsia" w:hAnsiTheme="minorEastAsia" w:eastAsiaTheme="minorEastAsia" w:cstheme="minorEastAsia"/>
          <w:b w:val="0"/>
          <w:bCs w:val="0"/>
          <w:color w:val="auto"/>
          <w:sz w:val="24"/>
          <w:szCs w:val="24"/>
          <w:highlight w:val="none"/>
          <w:lang w:val="zh-CN" w:bidi="zh-CN"/>
        </w:rPr>
        <w:t xml:space="preserve">年12月31日止。</w:t>
      </w:r>
      <w:r/>
    </w:p>
    <w:p>
      <w:pPr>
        <w:pStyle w:val="1415"/>
        <w:ind w:firstLine="720"/>
        <w:spacing w:line="440" w:lineRule="exact"/>
        <w:rPr>
          <w:rStyle w:val="785"/>
          <w:rFonts w:hint="eastAsia" w:asciiTheme="minorEastAsia" w:hAnsiTheme="minorEastAsia" w:eastAsiaTheme="minorEastAsia" w:cstheme="minorEastAsia"/>
          <w:b w:val="0"/>
          <w:bCs w:val="0"/>
          <w:color w:val="auto"/>
          <w:sz w:val="24"/>
          <w:szCs w:val="24"/>
          <w:highlight w:val="none"/>
          <w:lang w:val="zh-CN" w:bidi="zh-CN"/>
        </w:rPr>
      </w:pPr>
      <w:r>
        <w:rPr>
          <w:rStyle w:val="785"/>
          <w:rFonts w:hint="eastAsia" w:asciiTheme="minorEastAsia" w:hAnsiTheme="minorEastAsia" w:eastAsiaTheme="minorEastAsia" w:cstheme="minorEastAsia"/>
          <w:b w:val="0"/>
          <w:bCs w:val="0"/>
          <w:color w:val="auto"/>
          <w:sz w:val="24"/>
          <w:szCs w:val="24"/>
          <w:highlight w:val="none"/>
          <w:lang w:val="zh-CN" w:bidi="zh-CN"/>
        </w:rPr>
        <w:t xml:space="preserve">2. 本项目保险期限以保险单载明的起讫时间为准。保险合同载明的追溯期为2年，即本项目保险保障截止日期为202</w:t>
      </w:r>
      <w:r>
        <w:rPr>
          <w:rStyle w:val="785"/>
          <w:rFonts w:hint="eastAsia" w:asciiTheme="minorEastAsia" w:hAnsiTheme="minorEastAsia" w:eastAsiaTheme="minorEastAsia" w:cstheme="minorEastAsia"/>
          <w:b w:val="0"/>
          <w:bCs w:val="0"/>
          <w:color w:val="auto"/>
          <w:sz w:val="24"/>
          <w:szCs w:val="24"/>
          <w:highlight w:val="none"/>
          <w:lang w:val="en-US" w:bidi="zh-CN"/>
        </w:rPr>
        <w:t xml:space="preserve">9</w:t>
      </w:r>
      <w:r>
        <w:rPr>
          <w:rStyle w:val="785"/>
          <w:rFonts w:hint="eastAsia" w:asciiTheme="minorEastAsia" w:hAnsiTheme="minorEastAsia" w:eastAsiaTheme="minorEastAsia" w:cstheme="minorEastAsia"/>
          <w:b w:val="0"/>
          <w:bCs w:val="0"/>
          <w:color w:val="auto"/>
          <w:sz w:val="24"/>
          <w:szCs w:val="24"/>
          <w:highlight w:val="none"/>
          <w:lang w:val="zh-CN" w:bidi="zh-CN"/>
        </w:rPr>
        <w:t xml:space="preserve">年12月31日。</w:t>
      </w:r>
      <w:r/>
    </w:p>
    <w:p>
      <w:pPr>
        <w:pStyle w:val="1415"/>
        <w:ind w:firstLine="480"/>
        <w:spacing w:line="440" w:lineRule="exact"/>
        <w:rPr>
          <w:rStyle w:val="785"/>
          <w:rFonts w:hint="eastAsia" w:asciiTheme="minorEastAsia" w:hAnsiTheme="minorEastAsia" w:eastAsiaTheme="minorEastAsia" w:cstheme="minorEastAsia"/>
          <w:b w:val="0"/>
          <w:bCs w:val="0"/>
          <w:color w:val="auto"/>
          <w:sz w:val="24"/>
          <w:szCs w:val="24"/>
          <w:highlight w:val="none"/>
          <w:lang w:val="zh-CN" w:bidi="zh-CN"/>
        </w:rPr>
      </w:pPr>
      <w:r>
        <w:rPr>
          <w:rStyle w:val="785"/>
          <w:rFonts w:hint="eastAsia" w:asciiTheme="minorEastAsia" w:hAnsiTheme="minorEastAsia" w:eastAsiaTheme="minorEastAsia" w:cstheme="minorEastAsia"/>
          <w:b w:val="0"/>
          <w:bCs w:val="0"/>
          <w:color w:val="auto"/>
          <w:sz w:val="24"/>
          <w:szCs w:val="24"/>
          <w:highlight w:val="none"/>
          <w:lang w:val="zh-CN" w:bidi="zh-CN"/>
        </w:rPr>
        <w:t xml:space="preserve">（二）保险责任范围</w:t>
      </w:r>
      <w:r/>
    </w:p>
    <w:p>
      <w:pPr>
        <w:pStyle w:val="1415"/>
        <w:ind w:firstLine="720"/>
        <w:spacing w:line="440" w:lineRule="exact"/>
        <w:rPr>
          <w:rStyle w:val="785"/>
          <w:rFonts w:hint="eastAsia" w:asciiTheme="minorEastAsia" w:hAnsiTheme="minorEastAsia" w:eastAsiaTheme="minorEastAsia" w:cstheme="minorEastAsia"/>
          <w:b w:val="0"/>
          <w:bCs w:val="0"/>
          <w:color w:val="auto"/>
          <w:sz w:val="24"/>
          <w:szCs w:val="24"/>
          <w:highlight w:val="none"/>
          <w:lang w:val="zh-CN" w:bidi="zh-CN"/>
        </w:rPr>
      </w:pPr>
      <w:r>
        <w:rPr>
          <w:rStyle w:val="785"/>
          <w:rFonts w:hint="eastAsia" w:asciiTheme="minorEastAsia" w:hAnsiTheme="minorEastAsia" w:eastAsiaTheme="minorEastAsia" w:cstheme="minorEastAsia"/>
          <w:b w:val="0"/>
          <w:bCs w:val="0"/>
          <w:color w:val="auto"/>
          <w:sz w:val="24"/>
          <w:szCs w:val="24"/>
          <w:highlight w:val="none"/>
          <w:lang w:val="zh-CN" w:bidi="zh-CN"/>
        </w:rPr>
        <w:t xml:space="preserve">在保险期间或保险合同载明的追溯期内，凡具有泗洪县户籍，持有第二代《中华人民共和国残疾人证》的残疾人，因发生意外事故造成的人身损害，首次确诊重大疾病，在保险期间内向保险人提出损害赔偿请求的，保险人按照保险合同的约定负责赔偿。</w:t>
      </w:r>
      <w:r/>
    </w:p>
    <w:p>
      <w:pPr>
        <w:pStyle w:val="1415"/>
        <w:ind w:firstLine="480"/>
        <w:spacing w:line="440" w:lineRule="exact"/>
        <w:rPr>
          <w:rStyle w:val="785"/>
          <w:rFonts w:hint="eastAsia" w:asciiTheme="minorEastAsia" w:hAnsiTheme="minorEastAsia" w:eastAsiaTheme="minorEastAsia" w:cstheme="minorEastAsia"/>
          <w:b w:val="0"/>
          <w:bCs w:val="0"/>
          <w:color w:val="auto"/>
          <w:sz w:val="24"/>
          <w:szCs w:val="24"/>
          <w:highlight w:val="none"/>
          <w:lang w:val="zh-CN" w:bidi="zh-CN"/>
        </w:rPr>
      </w:pPr>
      <w:r>
        <w:rPr>
          <w:rStyle w:val="785"/>
          <w:rFonts w:hint="eastAsia" w:asciiTheme="minorEastAsia" w:hAnsiTheme="minorEastAsia" w:eastAsiaTheme="minorEastAsia" w:cstheme="minorEastAsia"/>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1617980</wp:posOffset>
                </wp:positionH>
                <wp:positionV relativeFrom="paragraph">
                  <wp:posOffset>-118745</wp:posOffset>
                </wp:positionV>
                <wp:extent cx="76200" cy="313690"/>
                <wp:effectExtent l="0" t="0" r="0" b="10160"/>
                <wp:wrapNone/>
                <wp:docPr id="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png"/>
                        <pic:cNvPicPr>
                          <a:picLocks noChangeAspect="1"/>
                        </pic:cNvPicPr>
                        <pic:nvPr/>
                      </pic:nvPicPr>
                      <pic:blipFill>
                        <a:blip r:embed="rId12"/>
                        <a:stretch/>
                      </pic:blipFill>
                      <pic:spPr bwMode="auto">
                        <a:xfrm>
                          <a:off x="0" y="0"/>
                          <a:ext cx="76200" cy="3136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page;margin-left:127.4pt;mso-position-horizontal:absolute;mso-position-vertical-relative:text;margin-top:-9.3pt;mso-position-vertical:absolute;width:6.0pt;height:24.7pt;mso-wrap-distance-left:9.0pt;mso-wrap-distance-top:0.0pt;mso-wrap-distance-right:9.0pt;mso-wrap-distance-bottom:0.0pt;" stroked="f">
                <v:path textboxrect="0,0,0,0"/>
                <v:imagedata r:id="rId12" o:title=""/>
              </v:shape>
            </w:pict>
          </mc:Fallback>
        </mc:AlternateContent>
      </w:r>
      <w:r>
        <w:rPr>
          <w:rStyle w:val="785"/>
          <w:rFonts w:hint="eastAsia" w:asciiTheme="minorEastAsia" w:hAnsiTheme="minorEastAsia" w:eastAsiaTheme="minorEastAsia" w:cstheme="minorEastAsia"/>
          <w:b w:val="0"/>
          <w:bCs w:val="0"/>
          <w:color w:val="auto"/>
          <w:sz w:val="24"/>
          <w:szCs w:val="24"/>
          <w:highlight w:val="none"/>
          <w:lang w:val="zh-CN" w:bidi="zh-CN"/>
        </w:rPr>
        <w:t xml:space="preserve">(三)赔偿限额</w:t>
      </w:r>
      <w:r/>
    </w:p>
    <w:p>
      <w:pPr>
        <w:pStyle w:val="1527"/>
        <w:ind w:right="471" w:firstLine="480"/>
        <w:jc w:val="both"/>
        <w:spacing w:before="1" w:line="440" w:lineRule="exact"/>
        <w:tabs>
          <w:tab w:val="left" w:pos="3277" w:leader="none"/>
        </w:tabs>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1、人身意外伤害身故赔偿限额</w:t>
      </w:r>
      <w:r>
        <w:rPr>
          <w:rStyle w:val="785"/>
          <w:rFonts w:hint="eastAsia" w:asciiTheme="minorEastAsia" w:hAnsiTheme="minorEastAsia" w:eastAsiaTheme="minorEastAsia" w:cstheme="minorEastAsia"/>
          <w:b w:val="0"/>
          <w:bCs w:val="0"/>
          <w:color w:val="auto"/>
          <w:sz w:val="24"/>
          <w:szCs w:val="24"/>
          <w:highlight w:val="none"/>
          <w:u w:val="single"/>
        </w:rPr>
        <w:tab/>
      </w:r>
      <w:r>
        <w:rPr>
          <w:rStyle w:val="785"/>
          <w:rFonts w:hint="eastAsia" w:asciiTheme="minorEastAsia" w:hAnsiTheme="minorEastAsia" w:eastAsiaTheme="minorEastAsia" w:cstheme="minorEastAsia"/>
          <w:b w:val="0"/>
          <w:bCs w:val="0"/>
          <w:color w:val="auto"/>
          <w:sz w:val="24"/>
          <w:szCs w:val="24"/>
          <w:highlight w:val="none"/>
          <w:u w:val="single"/>
        </w:rPr>
        <w:t xml:space="preserve"> </w:t>
      </w:r>
      <w:r>
        <w:rPr>
          <w:rStyle w:val="785"/>
          <w:rFonts w:hint="eastAsia" w:asciiTheme="minorEastAsia" w:hAnsiTheme="minorEastAsia" w:eastAsiaTheme="minorEastAsia" w:cstheme="minorEastAsia"/>
          <w:b w:val="0"/>
          <w:bCs w:val="0"/>
          <w:color w:val="auto"/>
          <w:sz w:val="24"/>
          <w:szCs w:val="24"/>
          <w:highlight w:val="none"/>
          <w:u w:val="single"/>
          <w:lang w:val="en-US" w:eastAsia="zh-CN" w:bidi="ar-SA"/>
        </w:rPr>
        <w:t xml:space="preserve">30000  </w:t>
      </w:r>
      <w:r>
        <w:rPr>
          <w:rStyle w:val="785"/>
          <w:rFonts w:hint="eastAsia" w:asciiTheme="minorEastAsia" w:hAnsiTheme="minorEastAsia" w:eastAsiaTheme="minorEastAsia" w:cstheme="minorEastAsia"/>
          <w:b w:val="0"/>
          <w:bCs w:val="0"/>
          <w:color w:val="auto"/>
          <w:sz w:val="24"/>
          <w:szCs w:val="24"/>
          <w:highlight w:val="none"/>
        </w:rPr>
        <w:t xml:space="preserve">元/人；</w:t>
      </w:r>
      <w:r/>
    </w:p>
    <w:p>
      <w:pPr>
        <w:pStyle w:val="1527"/>
        <w:ind w:right="471" w:firstLine="480"/>
        <w:jc w:val="both"/>
        <w:spacing w:before="1" w:line="440" w:lineRule="exact"/>
        <w:tabs>
          <w:tab w:val="left" w:pos="3277" w:leader="none"/>
        </w:tabs>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2、人身意外伤害残疾根据伤残评定等级（</w:t>
      </w:r>
      <w:r>
        <w:rPr>
          <w:rStyle w:val="785"/>
          <w:rFonts w:hint="eastAsia" w:asciiTheme="minorEastAsia" w:hAnsiTheme="minorEastAsia" w:eastAsiaTheme="minorEastAsia" w:cstheme="minorEastAsia"/>
          <w:b w:val="0"/>
          <w:bCs w:val="0"/>
          <w:color w:val="auto"/>
          <w:sz w:val="24"/>
          <w:szCs w:val="24"/>
          <w:highlight w:val="none"/>
          <w:lang w:val="en-US" w:eastAsia="zh-CN"/>
        </w:rPr>
        <w:t xml:space="preserve">1-10</w:t>
      </w:r>
      <w:r>
        <w:rPr>
          <w:rStyle w:val="785"/>
          <w:rFonts w:hint="eastAsia" w:asciiTheme="minorEastAsia" w:hAnsiTheme="minorEastAsia" w:eastAsiaTheme="minorEastAsia" w:cstheme="minorEastAsia"/>
          <w:b w:val="0"/>
          <w:bCs w:val="0"/>
          <w:color w:val="auto"/>
          <w:sz w:val="24"/>
          <w:szCs w:val="24"/>
          <w:highlight w:val="none"/>
        </w:rPr>
        <w:t xml:space="preserve">级）确定赔付标准，赔付标准按等级</w:t>
      </w:r>
      <w:r>
        <w:rPr>
          <w:rStyle w:val="785"/>
          <w:rFonts w:hint="eastAsia" w:asciiTheme="minorEastAsia" w:hAnsiTheme="minorEastAsia" w:eastAsiaTheme="minorEastAsia" w:cstheme="minorEastAsia"/>
          <w:b w:val="0"/>
          <w:bCs w:val="0"/>
          <w:color w:val="auto"/>
          <w:sz w:val="24"/>
          <w:szCs w:val="24"/>
          <w:highlight w:val="none"/>
          <w:lang w:val="en-US" w:eastAsia="zh-CN"/>
        </w:rPr>
        <w:t xml:space="preserve">1-10</w:t>
      </w:r>
      <w:r>
        <w:rPr>
          <w:rStyle w:val="785"/>
          <w:rFonts w:hint="eastAsia" w:asciiTheme="minorEastAsia" w:hAnsiTheme="minorEastAsia" w:eastAsiaTheme="minorEastAsia" w:cstheme="minorEastAsia"/>
          <w:b w:val="0"/>
          <w:bCs w:val="0"/>
          <w:color w:val="auto"/>
          <w:sz w:val="24"/>
          <w:szCs w:val="24"/>
          <w:highlight w:val="none"/>
        </w:rPr>
        <w:t xml:space="preserve">级逐级递增10%，最低为10级，赔偿限额</w:t>
      </w:r>
      <w:r>
        <w:rPr>
          <w:rStyle w:val="785"/>
          <w:rFonts w:hint="eastAsia" w:asciiTheme="minorEastAsia" w:hAnsiTheme="minorEastAsia" w:eastAsiaTheme="minorEastAsia" w:cstheme="minorEastAsia"/>
          <w:b w:val="0"/>
          <w:bCs w:val="0"/>
          <w:color w:val="auto"/>
          <w:sz w:val="24"/>
          <w:szCs w:val="24"/>
          <w:highlight w:val="none"/>
          <w:u w:val="single"/>
        </w:rPr>
        <w:tab/>
      </w:r>
      <w:r>
        <w:rPr>
          <w:rStyle w:val="785"/>
          <w:rFonts w:hint="eastAsia" w:asciiTheme="minorEastAsia" w:hAnsiTheme="minorEastAsia" w:eastAsiaTheme="minorEastAsia" w:cstheme="minorEastAsia"/>
          <w:b w:val="0"/>
          <w:bCs w:val="0"/>
          <w:color w:val="auto"/>
          <w:sz w:val="24"/>
          <w:szCs w:val="24"/>
          <w:highlight w:val="none"/>
          <w:u w:val="single"/>
          <w:lang w:val="en-US" w:eastAsia="zh-CN" w:bidi="ar-SA"/>
        </w:rPr>
        <w:t xml:space="preserve">60000</w:t>
      </w:r>
      <w:r>
        <w:rPr>
          <w:rStyle w:val="785"/>
          <w:rFonts w:hint="eastAsia" w:asciiTheme="minorEastAsia" w:hAnsiTheme="minorEastAsia" w:eastAsiaTheme="minorEastAsia" w:cstheme="minorEastAsia"/>
          <w:b w:val="0"/>
          <w:bCs w:val="0"/>
          <w:color w:val="auto"/>
          <w:sz w:val="24"/>
          <w:szCs w:val="24"/>
          <w:highlight w:val="none"/>
        </w:rPr>
        <w:t xml:space="preserve">元/人；</w:t>
      </w:r>
      <w:r/>
    </w:p>
    <w:p>
      <w:pPr>
        <w:pStyle w:val="1415"/>
        <w:ind w:firstLine="480"/>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3、附加意外伤害医疗赔偿限额</w:t>
      </w:r>
      <w:r>
        <w:rPr>
          <w:rStyle w:val="785"/>
          <w:rFonts w:hint="eastAsia" w:asciiTheme="minorEastAsia" w:hAnsiTheme="minorEastAsia" w:eastAsiaTheme="minorEastAsia" w:cstheme="minorEastAsia"/>
          <w:b w:val="0"/>
          <w:bCs w:val="0"/>
          <w:color w:val="auto"/>
          <w:sz w:val="24"/>
          <w:szCs w:val="24"/>
          <w:highlight w:val="none"/>
          <w:u w:val="single"/>
        </w:rPr>
        <w:tab/>
      </w:r>
      <w:r>
        <w:rPr>
          <w:rStyle w:val="785"/>
          <w:rFonts w:hint="eastAsia" w:asciiTheme="minorEastAsia" w:hAnsiTheme="minorEastAsia" w:eastAsiaTheme="minorEastAsia" w:cstheme="minorEastAsia"/>
          <w:b w:val="0"/>
          <w:bCs w:val="0"/>
          <w:color w:val="auto"/>
          <w:sz w:val="24"/>
          <w:szCs w:val="24"/>
          <w:highlight w:val="none"/>
          <w:u w:val="single"/>
        </w:rPr>
        <w:t xml:space="preserve"> </w:t>
      </w:r>
      <w:r>
        <w:rPr>
          <w:rStyle w:val="785"/>
          <w:rFonts w:hint="eastAsia" w:asciiTheme="minorEastAsia" w:hAnsiTheme="minorEastAsia" w:eastAsiaTheme="minorEastAsia" w:cstheme="minorEastAsia"/>
          <w:b w:val="0"/>
          <w:bCs w:val="0"/>
          <w:color w:val="auto"/>
          <w:sz w:val="24"/>
          <w:szCs w:val="24"/>
          <w:highlight w:val="none"/>
          <w:u w:val="single"/>
          <w:lang w:val="en-US" w:eastAsia="zh-CN" w:bidi="ar-SA"/>
        </w:rPr>
        <w:t xml:space="preserve">26000  </w:t>
      </w:r>
      <w:r>
        <w:rPr>
          <w:rStyle w:val="785"/>
          <w:rFonts w:hint="eastAsia" w:asciiTheme="minorEastAsia" w:hAnsiTheme="minorEastAsia" w:eastAsiaTheme="minorEastAsia" w:cstheme="minorEastAsia"/>
          <w:b w:val="0"/>
          <w:bCs w:val="0"/>
          <w:color w:val="auto"/>
          <w:sz w:val="24"/>
          <w:szCs w:val="24"/>
          <w:highlight w:val="none"/>
        </w:rPr>
        <w:t xml:space="preserve">元/人（其中门诊最高限额</w:t>
      </w:r>
      <w:r>
        <w:rPr>
          <w:rStyle w:val="785"/>
          <w:rFonts w:hint="eastAsia" w:asciiTheme="minorEastAsia" w:hAnsiTheme="minorEastAsia" w:eastAsiaTheme="minorEastAsia" w:cstheme="minorEastAsia"/>
          <w:b w:val="0"/>
          <w:bCs w:val="0"/>
          <w:color w:val="auto"/>
          <w:sz w:val="24"/>
          <w:szCs w:val="24"/>
          <w:highlight w:val="none"/>
          <w:u w:val="single"/>
        </w:rPr>
        <w:tab/>
      </w:r>
      <w:r>
        <w:rPr>
          <w:rStyle w:val="785"/>
          <w:rFonts w:hint="eastAsia" w:asciiTheme="minorEastAsia" w:hAnsiTheme="minorEastAsia" w:eastAsiaTheme="minorEastAsia" w:cstheme="minorEastAsia"/>
          <w:b w:val="0"/>
          <w:bCs w:val="0"/>
          <w:color w:val="auto"/>
          <w:sz w:val="24"/>
          <w:szCs w:val="24"/>
          <w:highlight w:val="none"/>
          <w:u w:val="single"/>
        </w:rPr>
        <w:t xml:space="preserve"> </w:t>
      </w:r>
      <w:r>
        <w:rPr>
          <w:rStyle w:val="785"/>
          <w:rFonts w:hint="eastAsia" w:asciiTheme="minorEastAsia" w:hAnsiTheme="minorEastAsia" w:eastAsiaTheme="minorEastAsia" w:cstheme="minorEastAsia"/>
          <w:b w:val="0"/>
          <w:bCs w:val="0"/>
          <w:color w:val="auto"/>
          <w:sz w:val="24"/>
          <w:szCs w:val="24"/>
          <w:highlight w:val="none"/>
          <w:u w:val="single"/>
          <w:lang w:val="en-US" w:eastAsia="zh-CN" w:bidi="ar-SA"/>
        </w:rPr>
        <w:t xml:space="preserve">2000 </w:t>
      </w:r>
      <w:r>
        <w:rPr>
          <w:rStyle w:val="785"/>
          <w:rFonts w:hint="eastAsia" w:asciiTheme="minorEastAsia" w:hAnsiTheme="minorEastAsia" w:eastAsiaTheme="minorEastAsia" w:cstheme="minorEastAsia"/>
          <w:b w:val="0"/>
          <w:bCs w:val="0"/>
          <w:color w:val="auto"/>
          <w:spacing w:val="7"/>
          <w:sz w:val="24"/>
          <w:szCs w:val="24"/>
          <w:highlight w:val="none"/>
        </w:rPr>
        <w:t xml:space="preserve">元/人，免赔条件</w:t>
      </w:r>
      <w:r>
        <w:rPr>
          <w:rStyle w:val="785"/>
          <w:rFonts w:hint="eastAsia" w:asciiTheme="minorEastAsia" w:hAnsiTheme="minorEastAsia" w:eastAsiaTheme="minorEastAsia" w:cstheme="minorEastAsia"/>
          <w:b w:val="0"/>
          <w:bCs w:val="0"/>
          <w:color w:val="auto"/>
          <w:spacing w:val="-1"/>
          <w:sz w:val="24"/>
          <w:szCs w:val="24"/>
          <w:highlight w:val="none"/>
        </w:rPr>
        <w:t xml:space="preserve">：</w:t>
      </w:r>
      <w:r>
        <w:rPr>
          <w:rStyle w:val="785"/>
          <w:rFonts w:hint="eastAsia" w:asciiTheme="minorEastAsia" w:hAnsiTheme="minorEastAsia" w:eastAsiaTheme="minorEastAsia" w:cstheme="minorEastAsia"/>
          <w:b w:val="0"/>
          <w:bCs w:val="0"/>
          <w:color w:val="auto"/>
          <w:sz w:val="24"/>
          <w:szCs w:val="24"/>
          <w:highlight w:val="none"/>
        </w:rPr>
        <w:t xml:space="preserve">扣除100元后按合规医疗费的90%赔付）；</w:t>
      </w:r>
      <w:r/>
    </w:p>
    <w:p>
      <w:pPr>
        <w:pStyle w:val="832"/>
        <w:ind w:firstLine="480"/>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4、因首次确诊重大疾病发生住院医疗费用自付部分，按70%补偿，补偿限额最高</w:t>
      </w:r>
      <w:r>
        <w:rPr>
          <w:rStyle w:val="785"/>
          <w:rFonts w:hint="eastAsia" w:asciiTheme="minorEastAsia" w:hAnsiTheme="minorEastAsia" w:eastAsiaTheme="minorEastAsia" w:cstheme="minorEastAsia"/>
          <w:b w:val="0"/>
          <w:bCs w:val="0"/>
          <w:color w:val="auto"/>
          <w:sz w:val="24"/>
          <w:szCs w:val="24"/>
          <w:highlight w:val="none"/>
          <w:u w:val="single"/>
        </w:rPr>
        <w:tab/>
      </w:r>
      <w:r>
        <w:rPr>
          <w:rStyle w:val="785"/>
          <w:rFonts w:hint="eastAsia" w:asciiTheme="minorEastAsia" w:hAnsiTheme="minorEastAsia" w:eastAsiaTheme="minorEastAsia" w:cstheme="minorEastAsia"/>
          <w:b w:val="0"/>
          <w:bCs w:val="0"/>
          <w:color w:val="auto"/>
          <w:sz w:val="24"/>
          <w:szCs w:val="24"/>
          <w:highlight w:val="none"/>
          <w:u w:val="single"/>
        </w:rPr>
        <w:t xml:space="preserve"> </w:t>
      </w:r>
      <w:r>
        <w:rPr>
          <w:rStyle w:val="785"/>
          <w:rFonts w:hint="eastAsia" w:asciiTheme="minorEastAsia" w:hAnsiTheme="minorEastAsia" w:eastAsiaTheme="minorEastAsia" w:cstheme="minorEastAsia"/>
          <w:b w:val="0"/>
          <w:bCs w:val="0"/>
          <w:color w:val="auto"/>
          <w:sz w:val="24"/>
          <w:szCs w:val="24"/>
          <w:highlight w:val="none"/>
          <w:u w:val="single"/>
          <w:lang w:val="en-US" w:eastAsia="zh-CN"/>
        </w:rPr>
        <w:t xml:space="preserve">10000</w:t>
      </w:r>
      <w:r>
        <w:rPr>
          <w:rStyle w:val="785"/>
          <w:rFonts w:hint="eastAsia" w:asciiTheme="minorEastAsia" w:hAnsiTheme="minorEastAsia" w:eastAsiaTheme="minorEastAsia" w:cstheme="minorEastAsia"/>
          <w:b w:val="0"/>
          <w:bCs w:val="0"/>
          <w:color w:val="auto"/>
          <w:sz w:val="24"/>
          <w:szCs w:val="24"/>
          <w:highlight w:val="none"/>
          <w:u w:val="single"/>
        </w:rPr>
        <w:t xml:space="preserve">  </w:t>
      </w:r>
      <w:r>
        <w:rPr>
          <w:rStyle w:val="785"/>
          <w:rFonts w:hint="eastAsia" w:asciiTheme="minorEastAsia" w:hAnsiTheme="minorEastAsia" w:eastAsiaTheme="minorEastAsia" w:cstheme="minorEastAsia"/>
          <w:b w:val="0"/>
          <w:bCs w:val="0"/>
          <w:color w:val="auto"/>
          <w:sz w:val="24"/>
          <w:szCs w:val="24"/>
          <w:highlight w:val="none"/>
        </w:rPr>
        <w:t xml:space="preserve">元/人；</w:t>
      </w:r>
      <w:r/>
    </w:p>
    <w:p>
      <w:pPr>
        <w:pStyle w:val="832"/>
        <w:ind w:firstLine="480"/>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5、经二级及以上医疗机构首次确诊的重大疾病赔偿限额</w:t>
      </w:r>
      <w:r>
        <w:rPr>
          <w:rStyle w:val="785"/>
          <w:rFonts w:hint="eastAsia" w:asciiTheme="minorEastAsia" w:hAnsiTheme="minorEastAsia" w:eastAsiaTheme="minorEastAsia" w:cstheme="minorEastAsia"/>
          <w:b w:val="0"/>
          <w:bCs w:val="0"/>
          <w:color w:val="auto"/>
          <w:sz w:val="24"/>
          <w:szCs w:val="24"/>
          <w:highlight w:val="none"/>
          <w:u w:val="single"/>
        </w:rPr>
        <w:tab/>
      </w:r>
      <w:r>
        <w:rPr>
          <w:rStyle w:val="785"/>
          <w:rFonts w:hint="eastAsia" w:asciiTheme="minorEastAsia" w:hAnsiTheme="minorEastAsia" w:eastAsiaTheme="minorEastAsia" w:cstheme="minorEastAsia"/>
          <w:b w:val="0"/>
          <w:bCs w:val="0"/>
          <w:color w:val="auto"/>
          <w:sz w:val="24"/>
          <w:szCs w:val="24"/>
          <w:highlight w:val="none"/>
          <w:u w:val="single"/>
          <w:lang w:val="en-US" w:eastAsia="zh-CN"/>
        </w:rPr>
        <w:t xml:space="preserve">10000</w:t>
      </w:r>
      <w:r>
        <w:rPr>
          <w:rStyle w:val="785"/>
          <w:rFonts w:hint="eastAsia" w:asciiTheme="minorEastAsia" w:hAnsiTheme="minorEastAsia" w:eastAsiaTheme="minorEastAsia" w:cstheme="minorEastAsia"/>
          <w:b w:val="0"/>
          <w:bCs w:val="0"/>
          <w:color w:val="auto"/>
          <w:sz w:val="24"/>
          <w:szCs w:val="24"/>
          <w:highlight w:val="none"/>
          <w:u w:val="single"/>
        </w:rPr>
        <w:t xml:space="preserve"> </w:t>
      </w:r>
      <w:r>
        <w:rPr>
          <w:rStyle w:val="785"/>
          <w:rFonts w:hint="eastAsia" w:asciiTheme="minorEastAsia" w:hAnsiTheme="minorEastAsia" w:eastAsiaTheme="minorEastAsia" w:cstheme="minorEastAsia"/>
          <w:b w:val="0"/>
          <w:bCs w:val="0"/>
          <w:color w:val="auto"/>
          <w:sz w:val="24"/>
          <w:szCs w:val="24"/>
          <w:highlight w:val="none"/>
        </w:rPr>
        <w:t xml:space="preserve">元/人；</w:t>
      </w:r>
      <w:r/>
    </w:p>
    <w:p>
      <w:pPr>
        <w:pStyle w:val="832"/>
        <w:ind w:firstLine="480"/>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6</w:t>
      </w:r>
      <w:r>
        <w:rPr>
          <w:rStyle w:val="785"/>
          <w:rFonts w:hint="eastAsia" w:asciiTheme="minorEastAsia" w:hAnsiTheme="minorEastAsia" w:eastAsiaTheme="minorEastAsia" w:cstheme="minorEastAsia"/>
          <w:b w:val="0"/>
          <w:bCs w:val="0"/>
          <w:color w:val="auto"/>
          <w:spacing w:val="-12"/>
          <w:sz w:val="24"/>
          <w:szCs w:val="24"/>
          <w:highlight w:val="none"/>
        </w:rPr>
        <w:t xml:space="preserve">、</w:t>
      </w:r>
      <w:r>
        <w:rPr>
          <w:rStyle w:val="785"/>
          <w:rFonts w:hint="eastAsia" w:asciiTheme="minorEastAsia" w:hAnsiTheme="minorEastAsia" w:eastAsiaTheme="minorEastAsia" w:cstheme="minorEastAsia"/>
          <w:b w:val="0"/>
          <w:bCs w:val="0"/>
          <w:color w:val="auto"/>
          <w:sz w:val="24"/>
          <w:szCs w:val="24"/>
          <w:highlight w:val="none"/>
        </w:rPr>
        <w:t xml:space="preserve">意外伤害住院津贴</w:t>
      </w:r>
      <w:r>
        <w:rPr>
          <w:rStyle w:val="785"/>
          <w:rFonts w:hint="eastAsia" w:asciiTheme="minorEastAsia" w:hAnsiTheme="minorEastAsia" w:eastAsiaTheme="minorEastAsia" w:cstheme="minorEastAsia"/>
          <w:b w:val="0"/>
          <w:bCs w:val="0"/>
          <w:color w:val="auto"/>
          <w:spacing w:val="-12"/>
          <w:sz w:val="24"/>
          <w:szCs w:val="24"/>
          <w:highlight w:val="none"/>
        </w:rPr>
        <w:t xml:space="preserve">、</w:t>
      </w:r>
      <w:r>
        <w:rPr>
          <w:rStyle w:val="785"/>
          <w:rFonts w:hint="eastAsia" w:asciiTheme="minorEastAsia" w:hAnsiTheme="minorEastAsia" w:eastAsiaTheme="minorEastAsia" w:cstheme="minorEastAsia"/>
          <w:b w:val="0"/>
          <w:bCs w:val="0"/>
          <w:color w:val="auto"/>
          <w:sz w:val="24"/>
          <w:szCs w:val="24"/>
          <w:highlight w:val="none"/>
        </w:rPr>
        <w:t xml:space="preserve">首次确诊重大疾病住院津贴赔偿限额</w:t>
      </w:r>
      <w:r>
        <w:rPr>
          <w:rStyle w:val="785"/>
          <w:rFonts w:hint="eastAsia" w:asciiTheme="minorEastAsia" w:hAnsiTheme="minorEastAsia" w:eastAsiaTheme="minorEastAsia" w:cstheme="minorEastAsia"/>
          <w:b w:val="0"/>
          <w:bCs w:val="0"/>
          <w:color w:val="auto"/>
          <w:sz w:val="24"/>
          <w:szCs w:val="24"/>
          <w:highlight w:val="none"/>
          <w:u w:val="single"/>
        </w:rPr>
        <w:tab/>
      </w:r>
      <w:r>
        <w:rPr>
          <w:rStyle w:val="785"/>
          <w:rFonts w:hint="eastAsia" w:asciiTheme="minorEastAsia" w:hAnsiTheme="minorEastAsia" w:eastAsiaTheme="minorEastAsia" w:cstheme="minorEastAsia"/>
          <w:b w:val="0"/>
          <w:bCs w:val="0"/>
          <w:color w:val="auto"/>
          <w:sz w:val="24"/>
          <w:szCs w:val="24"/>
          <w:highlight w:val="none"/>
          <w:u w:val="single"/>
          <w:lang w:val="en-US" w:eastAsia="zh-CN"/>
        </w:rPr>
        <w:t xml:space="preserve">100</w:t>
      </w:r>
      <w:r>
        <w:rPr>
          <w:rStyle w:val="785"/>
          <w:rFonts w:hint="eastAsia" w:asciiTheme="minorEastAsia" w:hAnsiTheme="minorEastAsia" w:eastAsiaTheme="minorEastAsia" w:cstheme="minorEastAsia"/>
          <w:b w:val="0"/>
          <w:bCs w:val="0"/>
          <w:color w:val="auto"/>
          <w:sz w:val="24"/>
          <w:szCs w:val="24"/>
          <w:highlight w:val="none"/>
          <w:u w:val="single"/>
        </w:rPr>
        <w:t xml:space="preserve"> </w:t>
      </w:r>
      <w:r>
        <w:rPr>
          <w:rStyle w:val="785"/>
          <w:rFonts w:hint="eastAsia" w:asciiTheme="minorEastAsia" w:hAnsiTheme="minorEastAsia" w:eastAsiaTheme="minorEastAsia" w:cstheme="minorEastAsia"/>
          <w:b w:val="0"/>
          <w:bCs w:val="0"/>
          <w:color w:val="auto"/>
          <w:sz w:val="24"/>
          <w:szCs w:val="24"/>
          <w:highlight w:val="none"/>
        </w:rPr>
        <w:t xml:space="preserve">元/天/人</w:t>
      </w:r>
      <w:r>
        <w:rPr>
          <w:rStyle w:val="785"/>
          <w:rFonts w:hint="eastAsia" w:asciiTheme="minorEastAsia" w:hAnsiTheme="minorEastAsia" w:eastAsiaTheme="minorEastAsia" w:cstheme="minorEastAsia"/>
          <w:b w:val="0"/>
          <w:bCs w:val="0"/>
          <w:color w:val="auto"/>
          <w:spacing w:val="-12"/>
          <w:sz w:val="24"/>
          <w:szCs w:val="24"/>
          <w:highlight w:val="none"/>
        </w:rPr>
        <w:t xml:space="preserve">，</w:t>
      </w:r>
      <w:r>
        <w:rPr>
          <w:rStyle w:val="785"/>
          <w:rFonts w:hint="eastAsia" w:asciiTheme="minorEastAsia" w:hAnsiTheme="minorEastAsia" w:eastAsiaTheme="minorEastAsia" w:cstheme="minorEastAsia"/>
          <w:b w:val="0"/>
          <w:bCs w:val="0"/>
          <w:color w:val="auto"/>
          <w:spacing w:val="-17"/>
          <w:sz w:val="24"/>
          <w:szCs w:val="24"/>
          <w:highlight w:val="none"/>
        </w:rPr>
        <w:t xml:space="preserve">最高</w:t>
      </w:r>
      <w:r>
        <w:rPr>
          <w:rStyle w:val="785"/>
          <w:rFonts w:hint="eastAsia" w:asciiTheme="minorEastAsia" w:hAnsiTheme="minorEastAsia" w:eastAsiaTheme="minorEastAsia" w:cstheme="minorEastAsia"/>
          <w:b w:val="0"/>
          <w:bCs w:val="0"/>
          <w:color w:val="auto"/>
          <w:sz w:val="24"/>
          <w:szCs w:val="24"/>
          <w:highlight w:val="none"/>
        </w:rPr>
        <w:t xml:space="preserve">90天，免赔1天。</w:t>
      </w:r>
      <w:r/>
    </w:p>
    <w:p>
      <w:pPr>
        <w:pStyle w:val="832"/>
        <w:ind w:firstLine="480"/>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7）在医保定点医疗机构住院发生的医保政策范围内住院费用（外购药除外），经基本医保、大病保险、医疗救助、低收入农户大病补充保险账户支付等医保实际报销后，剩余个人自付部分（不含丙类费用），按照起付线</w:t>
      </w:r>
      <w:r>
        <w:rPr>
          <w:rStyle w:val="785"/>
          <w:rFonts w:hint="eastAsia" w:asciiTheme="minorEastAsia" w:hAnsiTheme="minorEastAsia" w:eastAsiaTheme="minorEastAsia" w:cstheme="minorEastAsia"/>
          <w:b w:val="0"/>
          <w:bCs w:val="0"/>
          <w:color w:val="auto"/>
          <w:sz w:val="24"/>
          <w:szCs w:val="24"/>
          <w:highlight w:val="none"/>
          <w:u w:val="single"/>
        </w:rPr>
        <w:t xml:space="preserve">  </w:t>
      </w:r>
      <w:r>
        <w:rPr>
          <w:rStyle w:val="785"/>
          <w:rFonts w:hint="eastAsia" w:asciiTheme="minorEastAsia" w:hAnsiTheme="minorEastAsia" w:eastAsiaTheme="minorEastAsia" w:cstheme="minorEastAsia"/>
          <w:b w:val="0"/>
          <w:bCs w:val="0"/>
          <w:color w:val="auto"/>
          <w:sz w:val="24"/>
          <w:szCs w:val="24"/>
          <w:highlight w:val="none"/>
          <w:u w:val="single"/>
          <w:lang w:val="en-US" w:eastAsia="zh-CN"/>
        </w:rPr>
        <w:t xml:space="preserve">10000</w:t>
      </w:r>
      <w:r>
        <w:rPr>
          <w:rStyle w:val="785"/>
          <w:rFonts w:hint="eastAsia" w:asciiTheme="minorEastAsia" w:hAnsiTheme="minorEastAsia" w:eastAsiaTheme="minorEastAsia" w:cstheme="minorEastAsia"/>
          <w:b w:val="0"/>
          <w:bCs w:val="0"/>
          <w:color w:val="auto"/>
          <w:sz w:val="24"/>
          <w:szCs w:val="24"/>
          <w:highlight w:val="none"/>
          <w:u w:val="single"/>
        </w:rPr>
        <w:t xml:space="preserve">    </w:t>
      </w:r>
      <w:r>
        <w:rPr>
          <w:rStyle w:val="785"/>
          <w:rFonts w:hint="eastAsia" w:asciiTheme="minorEastAsia" w:hAnsiTheme="minorEastAsia" w:eastAsiaTheme="minorEastAsia" w:cstheme="minorEastAsia"/>
          <w:b w:val="0"/>
          <w:bCs w:val="0"/>
          <w:color w:val="auto"/>
          <w:sz w:val="24"/>
          <w:szCs w:val="24"/>
          <w:highlight w:val="none"/>
        </w:rPr>
        <w:t xml:space="preserve">元，补偿比例 50%，限额 </w:t>
      </w:r>
      <w:r>
        <w:rPr>
          <w:rStyle w:val="785"/>
          <w:rFonts w:hint="eastAsia" w:asciiTheme="minorEastAsia" w:hAnsiTheme="minorEastAsia" w:eastAsiaTheme="minorEastAsia" w:cstheme="minorEastAsia"/>
          <w:b w:val="0"/>
          <w:bCs w:val="0"/>
          <w:color w:val="auto"/>
          <w:sz w:val="24"/>
          <w:szCs w:val="24"/>
          <w:highlight w:val="none"/>
          <w:u w:val="single"/>
        </w:rPr>
        <w:t xml:space="preserve">   </w:t>
      </w:r>
      <w:r>
        <w:rPr>
          <w:rStyle w:val="785"/>
          <w:rFonts w:hint="eastAsia" w:asciiTheme="minorEastAsia" w:hAnsiTheme="minorEastAsia" w:eastAsiaTheme="minorEastAsia" w:cstheme="minorEastAsia"/>
          <w:b w:val="0"/>
          <w:bCs w:val="0"/>
          <w:color w:val="auto"/>
          <w:sz w:val="24"/>
          <w:szCs w:val="24"/>
          <w:highlight w:val="none"/>
          <w:u w:val="single"/>
          <w:lang w:val="en-US" w:eastAsia="zh-CN"/>
        </w:rPr>
        <w:t xml:space="preserve">5000</w:t>
      </w:r>
      <w:r>
        <w:rPr>
          <w:rStyle w:val="785"/>
          <w:rFonts w:hint="eastAsia" w:asciiTheme="minorEastAsia" w:hAnsiTheme="minorEastAsia" w:eastAsiaTheme="minorEastAsia" w:cstheme="minorEastAsia"/>
          <w:b w:val="0"/>
          <w:bCs w:val="0"/>
          <w:color w:val="auto"/>
          <w:sz w:val="24"/>
          <w:szCs w:val="24"/>
          <w:highlight w:val="none"/>
          <w:u w:val="single"/>
        </w:rPr>
        <w:t xml:space="preserve">     </w:t>
      </w:r>
      <w:r>
        <w:rPr>
          <w:rStyle w:val="785"/>
          <w:rFonts w:hint="eastAsia" w:asciiTheme="minorEastAsia" w:hAnsiTheme="minorEastAsia" w:eastAsiaTheme="minorEastAsia" w:cstheme="minorEastAsia"/>
          <w:b w:val="0"/>
          <w:bCs w:val="0"/>
          <w:color w:val="auto"/>
          <w:sz w:val="24"/>
          <w:szCs w:val="24"/>
          <w:highlight w:val="none"/>
        </w:rPr>
        <w:t xml:space="preserve"> 元/人/年予以补偿。</w:t>
      </w:r>
      <w:r/>
    </w:p>
    <w:p>
      <w:pPr>
        <w:pStyle w:val="832"/>
        <w:ind w:firstLine="480"/>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①参加社会医疗保险人员的医疗费用先由医保赔偿，剩余部分由本保险承担；</w:t>
      </w:r>
      <w:r/>
    </w:p>
    <w:p>
      <w:pPr>
        <w:pStyle w:val="832"/>
        <w:ind w:firstLine="480"/>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②未参加社会医疗保险人员的医疗费用赔偿,在本项目医疗费用赔偿限额内赔付。</w:t>
      </w:r>
      <w:r/>
    </w:p>
    <w:p>
      <w:pPr>
        <w:pStyle w:val="832"/>
        <w:ind w:firstLine="480"/>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w:t>
      </w:r>
      <w:r>
        <w:rPr>
          <w:rStyle w:val="785"/>
          <w:rFonts w:hint="eastAsia" w:asciiTheme="minorEastAsia" w:hAnsiTheme="minorEastAsia" w:eastAsiaTheme="minorEastAsia" w:cstheme="minorEastAsia"/>
          <w:b w:val="0"/>
          <w:bCs w:val="0"/>
          <w:color w:val="auto"/>
          <w:sz w:val="24"/>
          <w:szCs w:val="24"/>
          <w:highlight w:val="none"/>
          <w:lang w:bidi="zh-CN"/>
        </w:rPr>
        <w:t xml:space="preserve">四）重大疾病</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本项目所指重大疾病共有105种，包括中国保险行业协会颁布的《重大疾病保险的疾病定义使用规范（2020年修订版）》（以下简称“规范</w:t>
      </w:r>
      <w:r>
        <w:rPr>
          <w:rStyle w:val="785"/>
          <w:rFonts w:hint="eastAsia" w:asciiTheme="minorEastAsia" w:hAnsiTheme="minorEastAsia" w:eastAsiaTheme="minorEastAsia" w:cstheme="minorEastAsia"/>
          <w:b w:val="0"/>
          <w:bCs w:val="0"/>
          <w:color w:val="auto"/>
          <w:sz w:val="24"/>
          <w:szCs w:val="24"/>
          <w:highlight w:val="none"/>
        </w:rPr>
        <w:t xml:space="preserve">”）规定的28种重疾（疾病名称和疾病定义与“规范”一致），第29至105种重度疾病为“规范”规定范围之外的疾病。具体105重大疾病明细如下：1.恶性肿瘤—重度 2. 较重急性心肌梗死 3. 严重脑中风后遗症4.重大器官移植术或造血干细胞移植术 5.冠状动脉搭桥术（或称冠状动脉旁路移植术） 6.严重慢性肾脏病 7.多个肢体缺失 8.急性重症肝炎或亚急性重症肝炎 9. 严重非恶性颅内肿瘤 10.严重慢性肝衰竭11.严重脑炎或严重脑膜炎后遗症 12.深度昏迷 13.双耳失聪 14.双目失明 15.瘫痪 16.心脏</w:t>
      </w:r>
      <w:r>
        <w:rPr>
          <w:rStyle w:val="785"/>
          <w:rFonts w:hint="eastAsia" w:asciiTheme="minorEastAsia" w:hAnsiTheme="minorEastAsia" w:eastAsiaTheme="minorEastAsia" w:cstheme="minorEastAsia"/>
          <w:b w:val="0"/>
          <w:bCs w:val="0"/>
          <w:color w:val="auto"/>
          <w:sz w:val="24"/>
          <w:szCs w:val="24"/>
          <w:highlight w:val="none"/>
        </w:rPr>
        <w:t xml:space="preserve">瓣膜手术 17.严重阿尔茨海默病 18.严重脑损伤 19.严重原发性帕金森病 20.严重Ⅲ度烧伤 21.严重特发性肺动脉高压 22.严重运动神经元病 23.语言能力丧失24.重型再生障碍性贫血 25.主动脉手术 26.严重慢性呼吸衰竭 27.严重克罗恩病 28.严重溃疡性结肠炎 29.胰腺移植30.埃博拉病毒感染31.丝虫病所致象皮肿32.主动脉夹层血肿33.克雅氏病34.破裂脑动脉瘤夹闭手术35.经输血导致的HIV感染36.因职业关系导致的HIV感染37.器官移植导致的HIV感染38.原发性硬化性胆管炎3</w:t>
      </w:r>
      <w:r>
        <w:rPr>
          <w:rStyle w:val="785"/>
          <w:rFonts w:hint="eastAsia" w:asciiTheme="minorEastAsia" w:hAnsiTheme="minorEastAsia" w:eastAsiaTheme="minorEastAsia" w:cstheme="minorEastAsia"/>
          <w:b w:val="0"/>
          <w:bCs w:val="0"/>
          <w:color w:val="auto"/>
          <w:sz w:val="24"/>
          <w:szCs w:val="24"/>
          <w:highlight w:val="none"/>
        </w:rPr>
        <w:t xml:space="preserve">9.特发性慢性肾上腺皮质功能减退40.系统性红斑狼疮 －（并发）Ⅲ型或以上狼疮性肾炎41.严重类风湿性关节炎42.重症急性坏死性筋膜炎43.急性坏死性胰腺炎开腹手术44.系统性硬皮病45.慢性复发性胰腺炎46.严重肌营养不良症47.溶血性链球菌引起的坏疽48.植物人状态49.亚历山大病50.非阿尔茨海默病所致严重痴呆51.严重冠状动脉粥样硬化性心脏病52.多发性硬化53.全身性（型）重症肌无力54.严重心肌病55.严重心肌炎56.肺淋巴管肌瘤病57.侵蚀性葡萄胎（或称恶性葡萄胎）58.心脏粘液瘤59.感染性</w:t>
      </w:r>
      <w:r>
        <w:rPr>
          <w:rStyle w:val="785"/>
          <w:rFonts w:hint="eastAsia" w:asciiTheme="minorEastAsia" w:hAnsiTheme="minorEastAsia" w:eastAsiaTheme="minorEastAsia" w:cstheme="minorEastAsia"/>
          <w:b w:val="0"/>
          <w:bCs w:val="0"/>
          <w:color w:val="auto"/>
          <w:sz w:val="24"/>
          <w:szCs w:val="24"/>
          <w:highlight w:val="none"/>
        </w:rPr>
        <w:t xml:space="preserve">心内膜炎60.肝豆状核变性61.肺源性心脏病62.肾髓质囊性病63.严重继发性肺动脉高压64.进行性核上性麻痹65.失去一肢及一眼66.嗜铬细胞瘤67.颅脑手术68.严重自身免疫性肝炎69.原发性骨髓纤维化70.严重获得性或继发性肺泡蛋白质沉积症71.严重慢性缩窄性心包炎72.脑型疟疾73.胆道重建手术74.主动脉夹层瘤75.肌萎缩脊髓侧索硬化后遗症76.严重结核性脑膜炎77.严重肠道疾病并发症78.瑞氏综合征79.严重骨髓异常增生综合征80.严重面部烧伤81.严重川崎病82.重症手足口病83.严重哮喘 8</w:t>
      </w:r>
      <w:r>
        <w:rPr>
          <w:rStyle w:val="785"/>
          <w:rFonts w:hint="eastAsia" w:asciiTheme="minorEastAsia" w:hAnsiTheme="minorEastAsia" w:eastAsiaTheme="minorEastAsia" w:cstheme="minorEastAsia"/>
          <w:b w:val="0"/>
          <w:bCs w:val="0"/>
          <w:color w:val="auto"/>
          <w:sz w:val="24"/>
          <w:szCs w:val="24"/>
          <w:highlight w:val="none"/>
        </w:rPr>
        <w:t xml:space="preserve">4.骨生长不全症85.进行性多灶性白质脑病86.脊髓小脑变性症87.婴儿进行性脊肌萎缩症88.多处臂丛神经根性撕脱89.艾森门格综合征90.细菌性脑脊髓膜炎91.库鲁病92.疾病或外伤所致智力障碍93.严重幼年型类风湿性关节炎94.席汉氏综合征95.脊柱裂96.弥漫性血管内凝血97.血管性痴呆98.额颞叶痴呆99.路易体痴呆100.亚急性硬化性全脑炎101.进行性风疹性全脑炎102.败血症导致的多器官功能障碍综合症103.头臂动脉型多发性大动脉炎旁路移植手术104.范可尼综合征105.Brugada综合征。</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(五）保险费及支付方式</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1、保险费</w:t>
      </w:r>
      <w:r>
        <w:rPr>
          <w:rStyle w:val="785"/>
          <w:rFonts w:hint="eastAsia" w:asciiTheme="minorEastAsia" w:hAnsiTheme="minorEastAsia" w:eastAsiaTheme="minorEastAsia" w:cstheme="minorEastAsia"/>
          <w:b w:val="0"/>
          <w:bCs w:val="0"/>
          <w:color w:val="auto"/>
          <w:sz w:val="24"/>
          <w:szCs w:val="24"/>
          <w:highlight w:val="none"/>
          <w:u w:val="single"/>
        </w:rPr>
        <w:t xml:space="preserve"> </w:t>
      </w:r>
      <w:r>
        <w:rPr>
          <w:rStyle w:val="785"/>
          <w:rFonts w:hint="eastAsia" w:asciiTheme="minorEastAsia" w:hAnsiTheme="minorEastAsia" w:eastAsiaTheme="minorEastAsia" w:cstheme="minorEastAsia"/>
          <w:b w:val="0"/>
          <w:bCs w:val="0"/>
          <w:color w:val="auto"/>
          <w:sz w:val="24"/>
          <w:szCs w:val="24"/>
          <w:highlight w:val="none"/>
          <w:u w:val="single"/>
          <w:lang w:val="en-US" w:eastAsia="zh-CN"/>
        </w:rPr>
        <w:t xml:space="preserve">40</w:t>
      </w:r>
      <w:r>
        <w:rPr>
          <w:rStyle w:val="785"/>
          <w:rFonts w:hint="eastAsia" w:asciiTheme="minorEastAsia" w:hAnsiTheme="minorEastAsia" w:eastAsiaTheme="minorEastAsia" w:cstheme="minorEastAsia"/>
          <w:b w:val="0"/>
          <w:bCs w:val="0"/>
          <w:color w:val="auto"/>
          <w:sz w:val="24"/>
          <w:szCs w:val="24"/>
          <w:highlight w:val="none"/>
          <w:u w:val="single"/>
        </w:rPr>
        <w:t xml:space="preserve">  </w:t>
      </w:r>
      <w:r>
        <w:rPr>
          <w:rStyle w:val="785"/>
          <w:rFonts w:hint="eastAsia" w:asciiTheme="minorEastAsia" w:hAnsiTheme="minorEastAsia" w:eastAsiaTheme="minorEastAsia" w:cstheme="minorEastAsia"/>
          <w:b w:val="0"/>
          <w:bCs w:val="0"/>
          <w:color w:val="auto"/>
          <w:sz w:val="24"/>
          <w:szCs w:val="24"/>
          <w:highlight w:val="none"/>
        </w:rPr>
        <w:t xml:space="preserve">元/人/年，202</w:t>
      </w:r>
      <w:r>
        <w:rPr>
          <w:rStyle w:val="785"/>
          <w:rFonts w:hint="eastAsia" w:asciiTheme="minorEastAsia" w:hAnsiTheme="minorEastAsia" w:eastAsiaTheme="minorEastAsia" w:cstheme="minorEastAsia"/>
          <w:b w:val="0"/>
          <w:bCs w:val="0"/>
          <w:color w:val="auto"/>
          <w:sz w:val="24"/>
          <w:szCs w:val="24"/>
          <w:highlight w:val="none"/>
          <w:lang w:val="en-US" w:eastAsia="zh-CN"/>
        </w:rPr>
        <w:t xml:space="preserve">6</w:t>
      </w:r>
      <w:r>
        <w:rPr>
          <w:rStyle w:val="785"/>
          <w:rFonts w:hint="eastAsia" w:asciiTheme="minorEastAsia" w:hAnsiTheme="minorEastAsia" w:eastAsiaTheme="minorEastAsia" w:cstheme="minorEastAsia"/>
          <w:b w:val="0"/>
          <w:bCs w:val="0"/>
          <w:color w:val="auto"/>
          <w:sz w:val="24"/>
          <w:szCs w:val="24"/>
          <w:highlight w:val="none"/>
        </w:rPr>
        <w:t xml:space="preserve">年、202</w:t>
      </w:r>
      <w:r>
        <w:rPr>
          <w:rStyle w:val="785"/>
          <w:rFonts w:hint="eastAsia" w:asciiTheme="minorEastAsia" w:hAnsiTheme="minorEastAsia" w:eastAsiaTheme="minorEastAsia" w:cstheme="minorEastAsia"/>
          <w:b w:val="0"/>
          <w:bCs w:val="0"/>
          <w:color w:val="auto"/>
          <w:sz w:val="24"/>
          <w:szCs w:val="24"/>
          <w:highlight w:val="none"/>
          <w:lang w:val="en-US" w:eastAsia="zh-CN"/>
        </w:rPr>
        <w:t xml:space="preserve">7</w:t>
      </w:r>
      <w:r>
        <w:rPr>
          <w:rStyle w:val="785"/>
          <w:rFonts w:hint="eastAsia" w:asciiTheme="minorEastAsia" w:hAnsiTheme="minorEastAsia" w:eastAsiaTheme="minorEastAsia" w:cstheme="minorEastAsia"/>
          <w:b w:val="0"/>
          <w:bCs w:val="0"/>
          <w:color w:val="auto"/>
          <w:sz w:val="24"/>
          <w:szCs w:val="24"/>
          <w:highlight w:val="none"/>
        </w:rPr>
        <w:t xml:space="preserve">年初投保时，分别以实际名单人数出具保险单。保险费由</w:t>
      </w:r>
      <w:r>
        <w:rPr>
          <w:rStyle w:val="785"/>
          <w:rFonts w:hint="eastAsia" w:asciiTheme="minorEastAsia" w:hAnsiTheme="minorEastAsia" w:eastAsiaTheme="minorEastAsia" w:cstheme="minorEastAsia"/>
          <w:b w:val="0"/>
          <w:bCs w:val="0"/>
          <w:color w:val="auto"/>
          <w:sz w:val="24"/>
          <w:szCs w:val="24"/>
          <w:highlight w:val="none"/>
          <w:lang w:eastAsia="zh-CN"/>
        </w:rPr>
        <w:t xml:space="preserve">泗洪县</w:t>
      </w:r>
      <w:r>
        <w:rPr>
          <w:rStyle w:val="785"/>
          <w:rFonts w:hint="eastAsia" w:asciiTheme="minorEastAsia" w:hAnsiTheme="minorEastAsia" w:eastAsiaTheme="minorEastAsia" w:cstheme="minorEastAsia"/>
          <w:b w:val="0"/>
          <w:bCs w:val="0"/>
          <w:color w:val="auto"/>
          <w:sz w:val="24"/>
          <w:szCs w:val="24"/>
          <w:highlight w:val="none"/>
        </w:rPr>
        <w:t xml:space="preserve">残联支付。</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3904615</wp:posOffset>
                </wp:positionH>
                <wp:positionV relativeFrom="paragraph">
                  <wp:posOffset>1234440</wp:posOffset>
                </wp:positionV>
                <wp:extent cx="152400" cy="313690"/>
                <wp:effectExtent l="0" t="0" r="0" b="10160"/>
                <wp:wrapNone/>
                <wp:docPr id="6"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a:picLocks noChangeAspect="1"/>
                        </pic:cNvPicPr>
                        <pic:nvPr/>
                      </pic:nvPicPr>
                      <pic:blipFill>
                        <a:blip r:embed="rId13"/>
                        <a:stretch/>
                      </pic:blipFill>
                      <pic:spPr bwMode="auto">
                        <a:xfrm>
                          <a:off x="0" y="0"/>
                          <a:ext cx="152400" cy="3136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page;margin-left:307.4pt;mso-position-horizontal:absolute;mso-position-vertical-relative:text;margin-top:97.2pt;mso-position-vertical:absolute;width:12.0pt;height:24.7pt;mso-wrap-distance-left:9.0pt;mso-wrap-distance-top:0.0pt;mso-wrap-distance-right:9.0pt;mso-wrap-distance-bottom:0.0pt;" stroked="f">
                <v:path textboxrect="0,0,0,0"/>
                <v:imagedata r:id="rId13" o:title=""/>
              </v:shape>
            </w:pict>
          </mc:Fallback>
        </mc:AlternateContent>
      </w:r>
      <w:r>
        <w:rPr>
          <w:rStyle w:val="785"/>
          <w:rFonts w:hint="eastAsia" w:asciiTheme="minorEastAsia" w:hAnsiTheme="minorEastAsia" w:eastAsiaTheme="minorEastAsia" w:cstheme="minorEastAsia"/>
          <w:b w:val="0"/>
          <w:bCs w:val="0"/>
          <w:color w:val="auto"/>
          <w:sz w:val="24"/>
          <w:szCs w:val="24"/>
          <w:highlight w:val="none"/>
        </w:rPr>
        <w:t xml:space="preserve">2、关于保险费及调整。每人每年保费</w:t>
      </w:r>
      <w:r>
        <w:rPr>
          <w:rStyle w:val="785"/>
          <w:rFonts w:hint="eastAsia" w:asciiTheme="minorEastAsia" w:hAnsiTheme="minorEastAsia" w:eastAsiaTheme="minorEastAsia" w:cstheme="minorEastAsia"/>
          <w:b w:val="0"/>
          <w:bCs w:val="0"/>
          <w:color w:val="auto"/>
          <w:sz w:val="24"/>
          <w:szCs w:val="24"/>
          <w:highlight w:val="none"/>
          <w:u w:val="single"/>
        </w:rPr>
        <w:t xml:space="preserve">  </w:t>
      </w:r>
      <w:r>
        <w:rPr>
          <w:rStyle w:val="785"/>
          <w:rFonts w:hint="eastAsia" w:asciiTheme="minorEastAsia" w:hAnsiTheme="minorEastAsia" w:eastAsiaTheme="minorEastAsia" w:cstheme="minorEastAsia"/>
          <w:b w:val="0"/>
          <w:bCs w:val="0"/>
          <w:color w:val="auto"/>
          <w:sz w:val="24"/>
          <w:szCs w:val="24"/>
          <w:highlight w:val="none"/>
          <w:u w:val="single"/>
          <w:lang w:val="en-US" w:eastAsia="zh-CN"/>
        </w:rPr>
        <w:t xml:space="preserve">40</w:t>
      </w:r>
      <w:r>
        <w:rPr>
          <w:rStyle w:val="785"/>
          <w:rFonts w:hint="eastAsia" w:asciiTheme="minorEastAsia" w:hAnsiTheme="minorEastAsia" w:eastAsiaTheme="minorEastAsia" w:cstheme="minorEastAsia"/>
          <w:b w:val="0"/>
          <w:bCs w:val="0"/>
          <w:color w:val="auto"/>
          <w:sz w:val="24"/>
          <w:szCs w:val="24"/>
          <w:highlight w:val="none"/>
          <w:u w:val="single"/>
        </w:rPr>
        <w:t xml:space="preserve">  </w:t>
      </w:r>
      <w:r>
        <w:rPr>
          <w:rStyle w:val="785"/>
          <w:rFonts w:hint="eastAsia" w:asciiTheme="minorEastAsia" w:hAnsiTheme="minorEastAsia" w:eastAsiaTheme="minorEastAsia" w:cstheme="minorEastAsia"/>
          <w:b w:val="0"/>
          <w:bCs w:val="0"/>
          <w:color w:val="auto"/>
          <w:sz w:val="24"/>
          <w:szCs w:val="24"/>
          <w:highlight w:val="none"/>
        </w:rPr>
        <w:t xml:space="preserve">元，投保时以实际名单人数出具保险单，保险期间承保人对人数增减及时出具批单。年内新增办理残疾人证人员直接参保，新增人数不超过年初投保时总数10%的，免缴保费，超过部分的保费调增统计于每年保单到期前分批次或到期后30日内报县残联批准申请支付。</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年内新增办证被保险人批单收费计算公式：</w:t>
      </w:r>
      <w:r>
        <w:rPr>
          <w:rStyle w:val="785"/>
          <w:rFonts w:hint="eastAsia" w:asciiTheme="minorEastAsia" w:hAnsiTheme="minorEastAsia" w:eastAsiaTheme="minorEastAsia" w:cstheme="minorEastAsia"/>
          <w:b w:val="0"/>
          <w:bCs w:val="0"/>
          <w:color w:val="auto"/>
          <w:sz w:val="24"/>
          <w:szCs w:val="24"/>
          <w:highlight w:val="none"/>
          <w:u w:val="single"/>
        </w:rPr>
        <w:t xml:space="preserve"> </w:t>
      </w:r>
      <w:r>
        <w:rPr>
          <w:rStyle w:val="785"/>
          <w:rFonts w:hint="eastAsia" w:asciiTheme="minorEastAsia" w:hAnsiTheme="minorEastAsia" w:eastAsiaTheme="minorEastAsia" w:cstheme="minorEastAsia"/>
          <w:b w:val="0"/>
          <w:bCs w:val="0"/>
          <w:color w:val="auto"/>
          <w:sz w:val="24"/>
          <w:szCs w:val="24"/>
          <w:highlight w:val="none"/>
          <w:u w:val="single"/>
          <w:lang w:val="en-US" w:eastAsia="zh-CN"/>
        </w:rPr>
        <w:t xml:space="preserve">40</w:t>
      </w:r>
      <w:r>
        <w:rPr>
          <w:rStyle w:val="785"/>
          <w:rFonts w:hint="eastAsia" w:asciiTheme="minorEastAsia" w:hAnsiTheme="minorEastAsia" w:eastAsiaTheme="minorEastAsia" w:cstheme="minorEastAsia"/>
          <w:b w:val="0"/>
          <w:bCs w:val="0"/>
          <w:color w:val="auto"/>
          <w:sz w:val="24"/>
          <w:szCs w:val="24"/>
          <w:highlight w:val="none"/>
          <w:u w:val="single"/>
        </w:rPr>
        <w:t xml:space="preserve">  </w:t>
      </w:r>
      <w:r>
        <w:rPr>
          <w:rStyle w:val="785"/>
          <w:rFonts w:hint="eastAsia" w:asciiTheme="minorEastAsia" w:hAnsiTheme="minorEastAsia" w:eastAsiaTheme="minorEastAsia" w:cstheme="minorEastAsia"/>
          <w:b w:val="0"/>
          <w:bCs w:val="0"/>
          <w:color w:val="auto"/>
          <w:sz w:val="24"/>
          <w:szCs w:val="24"/>
          <w:highlight w:val="none"/>
        </w:rPr>
        <w:t xml:space="preserve">元/12月×实际参保月数。</w:t>
      </w:r>
      <w:r/>
    </w:p>
    <w:p>
      <w:pPr>
        <w:pStyle w:val="1558"/>
        <w:ind w:firstLine="360"/>
        <w:spacing w:line="50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3. 关于死亡、伤残、医疗费用等原始凭证复印件的认可。</w:t>
      </w:r>
      <w:r/>
    </w:p>
    <w:p>
      <w:pPr>
        <w:pStyle w:val="1558"/>
        <w:ind w:firstLine="360"/>
        <w:spacing w:line="50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保险人同意：死亡、伤残、医疗费用等原始凭证在社会医疗保险机构处理赔偿时已经留档不能分割的，该原始凭证复印件可用于本项目理赔时作为依据凭证。</w:t>
      </w:r>
      <w:r/>
    </w:p>
    <w:p>
      <w:pPr>
        <w:pStyle w:val="1558"/>
        <w:ind w:firstLine="360"/>
        <w:spacing w:line="50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lang w:val="en-US" w:eastAsia="zh-CN"/>
        </w:rPr>
        <w:t xml:space="preserve">4</w:t>
      </w:r>
      <w:r>
        <w:rPr>
          <w:rStyle w:val="785"/>
          <w:rFonts w:hint="eastAsia" w:asciiTheme="minorEastAsia" w:hAnsiTheme="minorEastAsia" w:eastAsiaTheme="minorEastAsia" w:cstheme="minorEastAsia"/>
          <w:b w:val="0"/>
          <w:bCs w:val="0"/>
          <w:color w:val="auto"/>
          <w:sz w:val="24"/>
          <w:szCs w:val="24"/>
          <w:highlight w:val="none"/>
        </w:rPr>
        <w:t xml:space="preserve">. 项目资金使用单向调节机制。</w:t>
      </w:r>
      <w:r/>
    </w:p>
    <w:p>
      <w:pPr>
        <w:pStyle w:val="1558"/>
        <w:ind w:firstLine="360"/>
        <w:spacing w:line="50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本项目要求赔付率控制在保险费的85%左右。若当年保险期间期满时，赔付率未达到85%，则不足部分的费用作为当年扶残助残项目给付责任。赔付率指简单赔付率（计算公式：当年度已决赔款/当年度保险费）。</w:t>
      </w:r>
      <w:r/>
    </w:p>
    <w:p>
      <w:pPr>
        <w:pStyle w:val="832"/>
        <w:ind w:firstLine="482"/>
        <w:jc w:val="left"/>
        <w:spacing w:line="440" w:lineRule="exact"/>
        <w:rPr>
          <w:rStyle w:val="785"/>
          <w:rFonts w:hint="eastAsia" w:asciiTheme="minorEastAsia" w:hAnsiTheme="minorEastAsia" w:eastAsiaTheme="minorEastAsia" w:cstheme="minorEastAsia"/>
          <w:b/>
          <w:bCs/>
          <w:color w:val="auto"/>
          <w:sz w:val="24"/>
          <w:szCs w:val="24"/>
          <w:highlight w:val="none"/>
        </w:rPr>
      </w:pPr>
      <w:r>
        <w:rPr>
          <w:rStyle w:val="785"/>
          <w:rFonts w:hint="eastAsia" w:asciiTheme="minorEastAsia" w:hAnsiTheme="minorEastAsia" w:eastAsiaTheme="minorEastAsia" w:cstheme="minorEastAsia"/>
          <w:b/>
          <w:bCs/>
          <w:color w:val="auto"/>
          <w:sz w:val="24"/>
          <w:szCs w:val="24"/>
          <w:highlight w:val="none"/>
          <w:lang w:val="en-US" w:eastAsia="zh-CN"/>
        </w:rPr>
        <w:t xml:space="preserve">四</w:t>
      </w:r>
      <w:r>
        <w:rPr>
          <w:rStyle w:val="785"/>
          <w:rFonts w:hint="eastAsia" w:asciiTheme="minorEastAsia" w:hAnsiTheme="minorEastAsia" w:eastAsiaTheme="minorEastAsia" w:cstheme="minorEastAsia"/>
          <w:b/>
          <w:bCs/>
          <w:color w:val="auto"/>
          <w:sz w:val="24"/>
          <w:szCs w:val="24"/>
          <w:highlight w:val="none"/>
        </w:rPr>
        <w:t xml:space="preserve">、甲方的权利与义务</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甲方权利：</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1、有权定期或不定期对乙方服务承诺履行情况进行监督检查。</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2、有权对乙方开展本项业务履约情况进行监督、评估。</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甲方义务：</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1、按时支付保费。</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2、准确核实参保人员名单，做好保费调整工作。</w:t>
      </w:r>
      <w:r/>
    </w:p>
    <w:p>
      <w:pPr>
        <w:pStyle w:val="832"/>
        <w:ind w:firstLine="482"/>
        <w:jc w:val="left"/>
        <w:spacing w:line="440" w:lineRule="exact"/>
        <w:rPr>
          <w:rStyle w:val="785"/>
          <w:rFonts w:hint="eastAsia" w:asciiTheme="minorEastAsia" w:hAnsiTheme="minorEastAsia" w:eastAsiaTheme="minorEastAsia" w:cstheme="minorEastAsia"/>
          <w:b/>
          <w:bCs/>
          <w:color w:val="auto"/>
          <w:sz w:val="24"/>
          <w:szCs w:val="24"/>
          <w:highlight w:val="none"/>
        </w:rPr>
      </w:pPr>
      <w:r>
        <w:rPr>
          <w:rStyle w:val="785"/>
          <w:rFonts w:hint="eastAsia" w:asciiTheme="minorEastAsia" w:hAnsiTheme="minorEastAsia" w:eastAsiaTheme="minorEastAsia" w:cstheme="minorEastAsia"/>
          <w:b/>
          <w:bCs/>
          <w:color w:val="auto"/>
          <w:sz w:val="24"/>
          <w:szCs w:val="24"/>
          <w:highlight w:val="none"/>
          <w:lang w:val="en-US" w:eastAsia="zh-CN"/>
        </w:rPr>
        <w:t xml:space="preserve">五</w:t>
      </w:r>
      <w:r>
        <w:rPr>
          <w:rStyle w:val="785"/>
          <w:rFonts w:hint="eastAsia" w:asciiTheme="minorEastAsia" w:hAnsiTheme="minorEastAsia" w:eastAsiaTheme="minorEastAsia" w:cstheme="minorEastAsia"/>
          <w:b/>
          <w:bCs/>
          <w:color w:val="auto"/>
          <w:sz w:val="24"/>
          <w:szCs w:val="24"/>
          <w:highlight w:val="none"/>
        </w:rPr>
        <w:t xml:space="preserve">、乙方的权利与义务</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乙方权利：</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1、有权收取保险费。</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2、有权就保险期间出险的风险增加或扩大等情况向甲方反馈。</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乙方义务：</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1、对甲方提供的被保险人信息以及相关资料承担保密责任，不得用于其他用途，不得向第三方泄露。</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2、赔偿处理</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（1）基本原则：保险人不得以任何理由推卸、拖延和拒绝被保险人索赔要求，除非有合理和足够的证据证明，否则其行为构成违约并承担违约责任；</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（2）保险人接到被保险人报案后，尽早赶赴事故现场开始初步调查并提出止损建议，一次性及时告知被保险人配合提供以下索赔材料：</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A：身份证复印件；</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B：意外伤害医疗：</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住院：就诊病例、发票、出院小结、诊断书、长期或临时医嘱单、其他材料等，</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门诊</w:t>
      </w:r>
      <w:r>
        <w:rPr>
          <w:rStyle w:val="785"/>
          <w:rFonts w:hint="eastAsia" w:asciiTheme="minorEastAsia" w:hAnsiTheme="minorEastAsia" w:eastAsiaTheme="minorEastAsia" w:cstheme="minorEastAsia"/>
          <w:b w:val="0"/>
          <w:bCs w:val="0"/>
          <w:color w:val="auto"/>
          <w:sz w:val="24"/>
          <w:szCs w:val="24"/>
          <w:highlight w:val="none"/>
          <w:lang w:eastAsia="zh-CN"/>
        </w:rPr>
        <w:t xml:space="preserve">：</w:t>
      </w:r>
      <w:r>
        <w:rPr>
          <w:rStyle w:val="785"/>
          <w:rFonts w:hint="eastAsia" w:asciiTheme="minorEastAsia" w:hAnsiTheme="minorEastAsia" w:eastAsiaTheme="minorEastAsia" w:cstheme="minorEastAsia"/>
          <w:b w:val="0"/>
          <w:bCs w:val="0"/>
          <w:color w:val="auto"/>
          <w:sz w:val="24"/>
          <w:szCs w:val="24"/>
          <w:highlight w:val="none"/>
        </w:rPr>
        <w:t xml:space="preserve">医疗机构诊断书、门诊病历、门诊费发票；</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C</w:t>
      </w:r>
      <w:r>
        <w:rPr>
          <w:rStyle w:val="785"/>
          <w:rFonts w:hint="eastAsia" w:asciiTheme="minorEastAsia" w:hAnsiTheme="minorEastAsia" w:eastAsiaTheme="minorEastAsia" w:cstheme="minorEastAsia"/>
          <w:b w:val="0"/>
          <w:bCs w:val="0"/>
          <w:color w:val="auto"/>
          <w:sz w:val="24"/>
          <w:szCs w:val="24"/>
          <w:highlight w:val="none"/>
          <w:lang w:eastAsia="zh-CN"/>
        </w:rPr>
        <w:t xml:space="preserve">：</w:t>
      </w:r>
      <w:r>
        <w:rPr>
          <w:rStyle w:val="785"/>
          <w:rFonts w:hint="eastAsia" w:asciiTheme="minorEastAsia" w:hAnsiTheme="minorEastAsia" w:eastAsiaTheme="minorEastAsia" w:cstheme="minorEastAsia"/>
          <w:b w:val="0"/>
          <w:bCs w:val="0"/>
          <w:color w:val="auto"/>
          <w:sz w:val="24"/>
          <w:szCs w:val="24"/>
          <w:highlight w:val="none"/>
          <w:lang w:val="en-US" w:eastAsia="zh-CN"/>
        </w:rPr>
        <w:t xml:space="preserve">提供</w:t>
      </w:r>
      <w:r>
        <w:rPr>
          <w:rStyle w:val="785"/>
          <w:rFonts w:hint="eastAsia" w:asciiTheme="minorEastAsia" w:hAnsiTheme="minorEastAsia" w:eastAsiaTheme="minorEastAsia" w:cstheme="minorEastAsia"/>
          <w:b w:val="0"/>
          <w:bCs w:val="0"/>
          <w:color w:val="auto"/>
          <w:sz w:val="24"/>
          <w:szCs w:val="24"/>
          <w:highlight w:val="none"/>
        </w:rPr>
        <w:t xml:space="preserve">残疾</w:t>
      </w:r>
      <w:r>
        <w:rPr>
          <w:rStyle w:val="785"/>
          <w:rFonts w:hint="eastAsia" w:asciiTheme="minorEastAsia" w:hAnsiTheme="minorEastAsia" w:eastAsiaTheme="minorEastAsia" w:cstheme="minorEastAsia"/>
          <w:b w:val="0"/>
          <w:bCs w:val="0"/>
          <w:color w:val="auto"/>
          <w:sz w:val="24"/>
          <w:szCs w:val="24"/>
          <w:highlight w:val="none"/>
          <w:lang w:val="en-US" w:eastAsia="zh-CN"/>
        </w:rPr>
        <w:t xml:space="preserve">评残</w:t>
      </w:r>
      <w:r>
        <w:rPr>
          <w:rStyle w:val="785"/>
          <w:rFonts w:hint="eastAsia" w:asciiTheme="minorEastAsia" w:hAnsiTheme="minorEastAsia" w:eastAsiaTheme="minorEastAsia" w:cstheme="minorEastAsia"/>
          <w:b w:val="0"/>
          <w:bCs w:val="0"/>
          <w:color w:val="auto"/>
          <w:sz w:val="24"/>
          <w:szCs w:val="24"/>
          <w:highlight w:val="none"/>
        </w:rPr>
        <w:t xml:space="preserve">证明</w:t>
      </w:r>
      <w:r>
        <w:rPr>
          <w:rStyle w:val="785"/>
          <w:rFonts w:hint="eastAsia" w:asciiTheme="minorEastAsia" w:hAnsiTheme="minorEastAsia" w:eastAsiaTheme="minorEastAsia" w:cstheme="minorEastAsia"/>
          <w:b w:val="0"/>
          <w:bCs w:val="0"/>
          <w:color w:val="auto"/>
          <w:sz w:val="24"/>
          <w:szCs w:val="24"/>
          <w:highlight w:val="none"/>
          <w:lang w:val="en-US" w:eastAsia="zh-CN"/>
        </w:rPr>
        <w:t xml:space="preserve">书</w:t>
      </w:r>
      <w:r>
        <w:rPr>
          <w:rStyle w:val="785"/>
          <w:rFonts w:hint="eastAsia" w:asciiTheme="minorEastAsia" w:hAnsiTheme="minorEastAsia" w:eastAsiaTheme="minorEastAsia" w:cstheme="minorEastAsia"/>
          <w:b w:val="0"/>
          <w:bCs w:val="0"/>
          <w:color w:val="auto"/>
          <w:sz w:val="24"/>
          <w:szCs w:val="24"/>
          <w:highlight w:val="none"/>
        </w:rPr>
        <w:t xml:space="preserve">（构成残疾的）；</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D：医疗死亡证明、火化证明、户口注销证明（构成死亡的）；</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E：</w:t>
      </w:r>
      <w:r>
        <w:rPr>
          <w:rStyle w:val="785"/>
          <w:rFonts w:hint="eastAsia" w:asciiTheme="minorEastAsia" w:hAnsiTheme="minorEastAsia" w:eastAsiaTheme="minorEastAsia" w:cstheme="minorEastAsia"/>
          <w:b w:val="0"/>
          <w:bCs w:val="0"/>
          <w:color w:val="auto"/>
          <w:sz w:val="24"/>
          <w:szCs w:val="24"/>
          <w:highlight w:val="none"/>
          <w:lang w:val="en-US" w:eastAsia="zh-CN"/>
        </w:rPr>
        <w:t xml:space="preserve">发生</w:t>
      </w:r>
      <w:r>
        <w:rPr>
          <w:rStyle w:val="785"/>
          <w:rFonts w:hint="eastAsia" w:asciiTheme="minorEastAsia" w:hAnsiTheme="minorEastAsia" w:eastAsiaTheme="minorEastAsia" w:cstheme="minorEastAsia"/>
          <w:b w:val="0"/>
          <w:bCs w:val="0"/>
          <w:color w:val="auto"/>
          <w:sz w:val="24"/>
          <w:szCs w:val="24"/>
          <w:highlight w:val="none"/>
        </w:rPr>
        <w:t xml:space="preserve">重大疾病</w:t>
      </w:r>
      <w:r>
        <w:rPr>
          <w:rStyle w:val="785"/>
          <w:rFonts w:hint="eastAsia" w:asciiTheme="minorEastAsia" w:hAnsiTheme="minorEastAsia" w:eastAsiaTheme="minorEastAsia" w:cstheme="minorEastAsia"/>
          <w:b w:val="0"/>
          <w:bCs w:val="0"/>
          <w:color w:val="auto"/>
          <w:sz w:val="24"/>
          <w:szCs w:val="24"/>
          <w:highlight w:val="none"/>
          <w:lang w:val="en-US" w:eastAsia="zh-CN"/>
        </w:rPr>
        <w:t xml:space="preserve">的</w:t>
      </w:r>
      <w:r>
        <w:rPr>
          <w:rStyle w:val="785"/>
          <w:rFonts w:hint="eastAsia" w:asciiTheme="minorEastAsia" w:hAnsiTheme="minorEastAsia" w:eastAsiaTheme="minorEastAsia" w:cstheme="minorEastAsia"/>
          <w:b w:val="0"/>
          <w:bCs w:val="0"/>
          <w:color w:val="auto"/>
          <w:sz w:val="24"/>
          <w:szCs w:val="24"/>
          <w:highlight w:val="none"/>
        </w:rPr>
        <w:t xml:space="preserve">：提供二级及以上医疗机构首次诊断确诊证明资料；</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F：重大疾病补充医疗：除提供重大疾病资料外，还需提供住院发票、出院小结、诊断书等资料。</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（3）被保险人尽可能为保险人调查和取证工作保留事故现场；对确因运营需要而无法留待保险人查勘的事故现场，被保险人应尽可能留下照片、录像、文字记录供保险人审核之用；</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（4）涉及有责任的第三方事故时，被保险人不能在获得保险人书面同意以前放弃向其追索的权利；</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（5）关于保险合同</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①本</w:t>
      </w:r>
      <w:r>
        <w:rPr>
          <w:rStyle w:val="785"/>
          <w:rFonts w:hint="eastAsia" w:asciiTheme="minorEastAsia" w:hAnsiTheme="minorEastAsia" w:eastAsiaTheme="minorEastAsia" w:cstheme="minorEastAsia"/>
          <w:b w:val="0"/>
          <w:bCs w:val="0"/>
          <w:color w:val="auto"/>
          <w:sz w:val="24"/>
          <w:szCs w:val="24"/>
          <w:highlight w:val="none"/>
          <w:lang w:eastAsia="zh-CN"/>
        </w:rPr>
        <w:t xml:space="preserve">磋商文件</w:t>
      </w:r>
      <w:r>
        <w:rPr>
          <w:rStyle w:val="785"/>
          <w:rFonts w:hint="eastAsia" w:asciiTheme="minorEastAsia" w:hAnsiTheme="minorEastAsia" w:eastAsiaTheme="minorEastAsia" w:cstheme="minorEastAsia"/>
          <w:b w:val="0"/>
          <w:bCs w:val="0"/>
          <w:color w:val="auto"/>
          <w:sz w:val="24"/>
          <w:szCs w:val="24"/>
          <w:highlight w:val="none"/>
        </w:rPr>
        <w:t xml:space="preserve">投保残疾人员名单、保险单、今后可能产生的批单、书面询问/答疑和双方往来函电等共同构成保险合同；构成保险合同的所有文件被认为是一个整体，相互说明、相互补充，如条文含义不明确时，按保险法有关规定办理，当文件间相互矛盾时，以本</w:t>
      </w:r>
      <w:r>
        <w:rPr>
          <w:rStyle w:val="785"/>
          <w:rFonts w:hint="eastAsia" w:asciiTheme="minorEastAsia" w:hAnsiTheme="minorEastAsia" w:eastAsiaTheme="minorEastAsia" w:cstheme="minorEastAsia"/>
          <w:b w:val="0"/>
          <w:bCs w:val="0"/>
          <w:color w:val="auto"/>
          <w:sz w:val="24"/>
          <w:szCs w:val="24"/>
          <w:highlight w:val="none"/>
          <w:lang w:eastAsia="zh-CN"/>
        </w:rPr>
        <w:t xml:space="preserve">磋商文件</w:t>
      </w:r>
      <w:r>
        <w:rPr>
          <w:rStyle w:val="785"/>
          <w:rFonts w:hint="eastAsia" w:asciiTheme="minorEastAsia" w:hAnsiTheme="minorEastAsia" w:eastAsiaTheme="minorEastAsia" w:cstheme="minorEastAsia"/>
          <w:b w:val="0"/>
          <w:bCs w:val="0"/>
          <w:color w:val="auto"/>
          <w:sz w:val="24"/>
          <w:szCs w:val="24"/>
          <w:highlight w:val="none"/>
        </w:rPr>
        <w:t xml:space="preserve">及最终协议为准，</w:t>
      </w:r>
      <w:r>
        <w:rPr>
          <w:rStyle w:val="785"/>
          <w:rFonts w:hint="eastAsia" w:asciiTheme="minorEastAsia" w:hAnsiTheme="minorEastAsia" w:eastAsiaTheme="minorEastAsia" w:cstheme="minorEastAsia"/>
          <w:b w:val="0"/>
          <w:bCs w:val="0"/>
          <w:color w:val="auto"/>
          <w:sz w:val="24"/>
          <w:szCs w:val="24"/>
          <w:highlight w:val="none"/>
          <w:lang w:val="en-US" w:eastAsia="zh-CN"/>
        </w:rPr>
        <w:t xml:space="preserve">采购人</w:t>
      </w:r>
      <w:r>
        <w:rPr>
          <w:rStyle w:val="785"/>
          <w:rFonts w:hint="eastAsia" w:asciiTheme="minorEastAsia" w:hAnsiTheme="minorEastAsia" w:eastAsiaTheme="minorEastAsia" w:cstheme="minorEastAsia"/>
          <w:b w:val="0"/>
          <w:bCs w:val="0"/>
          <w:color w:val="auto"/>
          <w:sz w:val="24"/>
          <w:szCs w:val="24"/>
          <w:highlight w:val="none"/>
        </w:rPr>
        <w:t xml:space="preserve">具有解释权；</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②</w:t>
      </w:r>
      <w:r>
        <w:rPr>
          <w:rStyle w:val="785"/>
          <w:rFonts w:hint="eastAsia" w:asciiTheme="minorEastAsia" w:hAnsiTheme="minorEastAsia" w:eastAsiaTheme="minorEastAsia" w:cstheme="minorEastAsia"/>
          <w:b w:val="0"/>
          <w:bCs w:val="0"/>
          <w:color w:val="auto"/>
          <w:sz w:val="24"/>
          <w:szCs w:val="24"/>
          <w:highlight w:val="none"/>
          <w:lang w:eastAsia="zh-CN"/>
        </w:rPr>
        <w:t xml:space="preserve">供应商</w:t>
      </w:r>
      <w:r>
        <w:rPr>
          <w:rStyle w:val="785"/>
          <w:rFonts w:hint="eastAsia" w:asciiTheme="minorEastAsia" w:hAnsiTheme="minorEastAsia" w:eastAsiaTheme="minorEastAsia" w:cstheme="minorEastAsia"/>
          <w:b w:val="0"/>
          <w:bCs w:val="0"/>
          <w:color w:val="auto"/>
          <w:sz w:val="24"/>
          <w:szCs w:val="24"/>
          <w:highlight w:val="none"/>
        </w:rPr>
        <w:t xml:space="preserve">其作为保险人对保险条款进行解释时，只是合同一方的理解，对争议或歧义的裁决应按保险法规定做出有利于被保险人的解释，若仍有争议则以法院裁决为准，但本条约定并不排斥双方平等协商解决争议的原则。</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3、收到被保险人的理赔资料后，对材料齐全、无需调查且属于保险责任范围的，应在</w:t>
      </w:r>
      <w:r>
        <w:rPr>
          <w:rStyle w:val="785"/>
          <w:rFonts w:hint="eastAsia" w:asciiTheme="minorEastAsia" w:hAnsiTheme="minorEastAsia" w:eastAsiaTheme="minorEastAsia" w:cstheme="minorEastAsia"/>
          <w:b w:val="0"/>
          <w:bCs w:val="0"/>
          <w:color w:val="auto"/>
          <w:sz w:val="24"/>
          <w:szCs w:val="24"/>
          <w:highlight w:val="none"/>
          <w:u w:val="single"/>
        </w:rPr>
        <w:t xml:space="preserve">   </w:t>
      </w:r>
      <w:r>
        <w:rPr>
          <w:rStyle w:val="785"/>
          <w:rFonts w:hint="eastAsia" w:asciiTheme="minorEastAsia" w:hAnsiTheme="minorEastAsia" w:eastAsiaTheme="minorEastAsia" w:cstheme="minorEastAsia"/>
          <w:b w:val="0"/>
          <w:bCs w:val="0"/>
          <w:color w:val="auto"/>
          <w:sz w:val="24"/>
          <w:szCs w:val="24"/>
          <w:highlight w:val="none"/>
        </w:rPr>
        <w:t xml:space="preserve">个工作日内履行给付保险金义务；对需要调查的案件，按服务承诺做出理赔决定，同时将理赔有关情况报</w:t>
      </w:r>
      <w:r>
        <w:rPr>
          <w:rStyle w:val="785"/>
          <w:rFonts w:hint="eastAsia" w:asciiTheme="minorEastAsia" w:hAnsiTheme="minorEastAsia" w:eastAsiaTheme="minorEastAsia" w:cstheme="minorEastAsia"/>
          <w:b w:val="0"/>
          <w:bCs w:val="0"/>
          <w:color w:val="auto"/>
          <w:sz w:val="24"/>
          <w:szCs w:val="24"/>
          <w:highlight w:val="none"/>
          <w:lang w:val="en-US" w:eastAsia="zh-CN"/>
        </w:rPr>
        <w:t xml:space="preserve">采购人</w:t>
      </w:r>
      <w:r>
        <w:rPr>
          <w:rStyle w:val="785"/>
          <w:rFonts w:hint="eastAsia" w:asciiTheme="minorEastAsia" w:hAnsiTheme="minorEastAsia" w:eastAsiaTheme="minorEastAsia" w:cstheme="minorEastAsia"/>
          <w:b w:val="0"/>
          <w:bCs w:val="0"/>
          <w:color w:val="auto"/>
          <w:sz w:val="24"/>
          <w:szCs w:val="24"/>
          <w:highlight w:val="none"/>
        </w:rPr>
        <w:t xml:space="preserve">备案。</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4、严格遵守</w:t>
      </w:r>
      <w:r>
        <w:rPr>
          <w:rStyle w:val="785"/>
          <w:rFonts w:hint="eastAsia" w:asciiTheme="minorEastAsia" w:hAnsiTheme="minorEastAsia" w:eastAsiaTheme="minorEastAsia" w:cstheme="minorEastAsia"/>
          <w:b w:val="0"/>
          <w:bCs w:val="0"/>
          <w:color w:val="auto"/>
          <w:sz w:val="24"/>
          <w:szCs w:val="24"/>
          <w:highlight w:val="none"/>
          <w:lang w:val="en-US" w:eastAsia="zh-CN"/>
        </w:rPr>
        <w:t xml:space="preserve">保险合同、</w:t>
      </w:r>
      <w:r>
        <w:rPr>
          <w:rStyle w:val="785"/>
          <w:rFonts w:hint="eastAsia" w:asciiTheme="minorEastAsia" w:hAnsiTheme="minorEastAsia" w:eastAsiaTheme="minorEastAsia" w:cstheme="minorEastAsia"/>
          <w:b w:val="0"/>
          <w:bCs w:val="0"/>
          <w:color w:val="auto"/>
          <w:sz w:val="24"/>
          <w:szCs w:val="24"/>
          <w:highlight w:val="none"/>
        </w:rPr>
        <w:t xml:space="preserve">共保协议条款，不向第三方泄露。</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5、因招标原因，合同签订日期在202</w:t>
      </w:r>
      <w:r>
        <w:rPr>
          <w:rStyle w:val="785"/>
          <w:rFonts w:hint="eastAsia" w:asciiTheme="minorEastAsia" w:hAnsiTheme="minorEastAsia" w:eastAsiaTheme="minorEastAsia" w:cstheme="minorEastAsia"/>
          <w:b w:val="0"/>
          <w:bCs w:val="0"/>
          <w:color w:val="auto"/>
          <w:sz w:val="24"/>
          <w:szCs w:val="24"/>
          <w:highlight w:val="none"/>
          <w:lang w:val="en-US" w:eastAsia="zh-CN"/>
        </w:rPr>
        <w:t xml:space="preserve">6</w:t>
      </w:r>
      <w:r>
        <w:rPr>
          <w:rStyle w:val="785"/>
          <w:rFonts w:hint="eastAsia" w:asciiTheme="minorEastAsia" w:hAnsiTheme="minorEastAsia" w:eastAsiaTheme="minorEastAsia" w:cstheme="minorEastAsia"/>
          <w:b w:val="0"/>
          <w:bCs w:val="0"/>
          <w:color w:val="auto"/>
          <w:sz w:val="24"/>
          <w:szCs w:val="24"/>
          <w:highlight w:val="none"/>
        </w:rPr>
        <w:t xml:space="preserve">年01月01日之后的，乙方承诺保险在202</w:t>
      </w:r>
      <w:r>
        <w:rPr>
          <w:rStyle w:val="785"/>
          <w:rFonts w:hint="eastAsia" w:asciiTheme="minorEastAsia" w:hAnsiTheme="minorEastAsia" w:eastAsiaTheme="minorEastAsia" w:cstheme="minorEastAsia"/>
          <w:b w:val="0"/>
          <w:bCs w:val="0"/>
          <w:color w:val="auto"/>
          <w:sz w:val="24"/>
          <w:szCs w:val="24"/>
          <w:highlight w:val="none"/>
          <w:lang w:val="en-US" w:eastAsia="zh-CN"/>
        </w:rPr>
        <w:t xml:space="preserve">6</w:t>
      </w:r>
      <w:r>
        <w:rPr>
          <w:rStyle w:val="785"/>
          <w:rFonts w:hint="eastAsia" w:asciiTheme="minorEastAsia" w:hAnsiTheme="minorEastAsia" w:eastAsiaTheme="minorEastAsia" w:cstheme="minorEastAsia"/>
          <w:b w:val="0"/>
          <w:bCs w:val="0"/>
          <w:color w:val="auto"/>
          <w:sz w:val="24"/>
          <w:szCs w:val="24"/>
          <w:highlight w:val="none"/>
        </w:rPr>
        <w:t xml:space="preserve">年1月1日生效，并承担在此期间的赔偿责任。</w:t>
      </w:r>
      <w:r/>
    </w:p>
    <w:p>
      <w:pPr>
        <w:pStyle w:val="1557"/>
        <w:ind w:left="0" w:firstLine="482"/>
        <w:spacing w:line="440" w:lineRule="exact"/>
        <w:rPr>
          <w:rStyle w:val="785"/>
          <w:rFonts w:hint="eastAsia" w:asciiTheme="minorEastAsia" w:hAnsiTheme="minorEastAsia" w:eastAsiaTheme="minorEastAsia" w:cstheme="minorEastAsia"/>
          <w:b/>
          <w:bCs/>
          <w:color w:val="auto"/>
          <w:sz w:val="24"/>
          <w:szCs w:val="24"/>
          <w:highlight w:val="none"/>
        </w:rPr>
      </w:pPr>
      <w:r>
        <w:rPr>
          <w:rStyle w:val="785"/>
          <w:rFonts w:hint="eastAsia" w:asciiTheme="minorEastAsia" w:hAnsiTheme="minorEastAsia" w:eastAsiaTheme="minorEastAsia" w:cstheme="minorEastAsia"/>
          <w:b/>
          <w:bCs/>
          <w:color w:val="auto"/>
          <w:sz w:val="24"/>
          <w:szCs w:val="24"/>
          <w:highlight w:val="none"/>
          <w:lang w:val="en-US" w:eastAsia="zh-CN"/>
        </w:rPr>
        <w:t xml:space="preserve">六</w:t>
      </w:r>
      <w:r>
        <w:rPr>
          <w:rStyle w:val="785"/>
          <w:rFonts w:hint="eastAsia" w:asciiTheme="minorEastAsia" w:hAnsiTheme="minorEastAsia" w:eastAsiaTheme="minorEastAsia" w:cstheme="minorEastAsia"/>
          <w:b/>
          <w:bCs/>
          <w:color w:val="auto"/>
          <w:sz w:val="24"/>
          <w:szCs w:val="24"/>
          <w:highlight w:val="none"/>
        </w:rPr>
        <w:t xml:space="preserve">、其他约定</w:t>
      </w:r>
      <w:r/>
    </w:p>
    <w:p>
      <w:pPr>
        <w:pStyle w:val="1558"/>
        <w:ind w:firstLine="360"/>
        <w:spacing w:line="50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（1）经招标确定的承保人负责本项目各区域的投保、出单、宣传及理赔工作，</w:t>
      </w:r>
      <w:r>
        <w:rPr>
          <w:rStyle w:val="785"/>
          <w:rFonts w:hint="eastAsia" w:asciiTheme="minorEastAsia" w:hAnsiTheme="minorEastAsia" w:eastAsiaTheme="minorEastAsia" w:cstheme="minorEastAsia"/>
          <w:b w:val="0"/>
          <w:bCs w:val="0"/>
          <w:color w:val="auto"/>
          <w:sz w:val="24"/>
          <w:szCs w:val="24"/>
          <w:highlight w:val="none"/>
        </w:rPr>
        <w:t xml:space="preserve">每月至少与承保区域的县残联会商一次项目实施情况。</w:t>
      </w:r>
      <w:r/>
    </w:p>
    <w:p>
      <w:pPr>
        <w:pStyle w:val="1558"/>
        <w:ind w:firstLine="360"/>
        <w:spacing w:line="50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（2）承保人按月度汇总承保及理赔数据，于次月10日前向县残联提交承保及理赔数据月报，并于保险年度结束后15日内递交承保及理赔数据年报。</w:t>
      </w:r>
      <w:r/>
    </w:p>
    <w:p>
      <w:pPr>
        <w:pStyle w:val="1558"/>
        <w:ind w:firstLine="360"/>
        <w:spacing w:line="50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（3）承保人须将保单送至被保人手中，并告知理赔应知事项。</w:t>
      </w:r>
      <w:r/>
    </w:p>
    <w:p>
      <w:pPr>
        <w:pStyle w:val="1558"/>
        <w:ind w:firstLine="360"/>
        <w:spacing w:line="500" w:lineRule="exact"/>
        <w:rPr>
          <w:rStyle w:val="785"/>
          <w:rFonts w:hint="eastAsia" w:ascii="宋体" w:hAnsi="宋体" w:cs="宋体"/>
          <w:b w:val="0"/>
          <w:bCs w:val="0"/>
          <w:color w:val="auto"/>
          <w:sz w:val="24"/>
          <w:highlight w:val="none"/>
          <w:lang w:val="en-US" w:eastAsia="zh-CN"/>
        </w:rPr>
      </w:pPr>
      <w:r>
        <w:rPr>
          <w:rStyle w:val="785"/>
          <w:rFonts w:hint="eastAsia" w:ascii="宋体" w:hAnsi="宋体" w:cs="宋体"/>
          <w:b w:val="0"/>
          <w:bCs w:val="0"/>
          <w:color w:val="auto"/>
          <w:sz w:val="24"/>
          <w:highlight w:val="none"/>
          <w:lang w:val="en-US" w:eastAsia="zh-CN"/>
        </w:rPr>
        <w:t xml:space="preserve">（4）持证</w:t>
      </w:r>
      <w:r>
        <w:rPr>
          <w:rStyle w:val="785"/>
          <w:rFonts w:hint="eastAsia" w:ascii="宋体" w:hAnsi="宋体" w:eastAsia="宋体" w:cs="宋体"/>
          <w:b w:val="0"/>
          <w:bCs w:val="0"/>
          <w:color w:val="auto"/>
          <w:sz w:val="24"/>
          <w:highlight w:val="none"/>
        </w:rPr>
        <w:t xml:space="preserve">残疾</w:t>
      </w:r>
      <w:r>
        <w:rPr>
          <w:rStyle w:val="785"/>
          <w:rFonts w:hint="eastAsia" w:ascii="宋体" w:hAnsi="宋体" w:cs="宋体"/>
          <w:b w:val="0"/>
          <w:bCs w:val="0"/>
          <w:color w:val="auto"/>
          <w:sz w:val="24"/>
          <w:highlight w:val="none"/>
          <w:lang w:val="en-US" w:eastAsia="zh-CN"/>
        </w:rPr>
        <w:t xml:space="preserve">人投保时间认定以残疾人证发证日期为准。</w:t>
      </w:r>
      <w:r/>
    </w:p>
    <w:p>
      <w:pPr>
        <w:pStyle w:val="1558"/>
        <w:ind w:firstLine="360"/>
        <w:spacing w:line="50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宋体" w:hAnsi="宋体" w:cs="宋体"/>
          <w:b w:val="0"/>
          <w:bCs w:val="0"/>
          <w:color w:val="auto"/>
          <w:sz w:val="24"/>
          <w:highlight w:val="none"/>
          <w:lang w:val="en-US" w:eastAsia="zh-CN"/>
        </w:rPr>
        <w:t xml:space="preserve">（5） 每月新增投保人员名单，由残联次月10日前向各方</w:t>
      </w:r>
      <w:r>
        <w:rPr>
          <w:rStyle w:val="785"/>
          <w:rFonts w:hint="eastAsia" w:asciiTheme="minorEastAsia" w:hAnsiTheme="minorEastAsia" w:eastAsiaTheme="minorEastAsia" w:cstheme="minorEastAsia"/>
          <w:b w:val="0"/>
          <w:bCs w:val="0"/>
          <w:color w:val="auto"/>
          <w:sz w:val="24"/>
          <w:szCs w:val="24"/>
          <w:highlight w:val="none"/>
        </w:rPr>
        <w:t xml:space="preserve">承保人</w:t>
      </w:r>
      <w:r>
        <w:rPr>
          <w:rStyle w:val="785"/>
          <w:rFonts w:hint="eastAsia" w:ascii="宋体" w:hAnsi="宋体" w:cs="宋体"/>
          <w:b w:val="0"/>
          <w:bCs w:val="0"/>
          <w:color w:val="auto"/>
          <w:sz w:val="24"/>
          <w:highlight w:val="none"/>
          <w:lang w:val="en-US" w:eastAsia="zh-CN"/>
        </w:rPr>
        <w:t xml:space="preserve">提供。</w:t>
      </w:r>
      <w:r/>
    </w:p>
    <w:p>
      <w:pPr>
        <w:pStyle w:val="1558"/>
        <w:ind w:firstLine="360"/>
        <w:spacing w:line="50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w:t>
      </w:r>
      <w:r>
        <w:rPr>
          <w:rStyle w:val="785"/>
          <w:rFonts w:hint="eastAsia" w:asciiTheme="minorEastAsia" w:hAnsiTheme="minorEastAsia" w:eastAsiaTheme="minorEastAsia" w:cstheme="minorEastAsia"/>
          <w:b w:val="0"/>
          <w:bCs w:val="0"/>
          <w:color w:val="auto"/>
          <w:sz w:val="24"/>
          <w:szCs w:val="24"/>
          <w:highlight w:val="none"/>
          <w:lang w:val="en-US" w:eastAsia="zh-CN"/>
        </w:rPr>
        <w:t xml:space="preserve">6</w:t>
      </w:r>
      <w:r>
        <w:rPr>
          <w:rStyle w:val="785"/>
          <w:rFonts w:hint="eastAsia" w:asciiTheme="minorEastAsia" w:hAnsiTheme="minorEastAsia" w:eastAsiaTheme="minorEastAsia" w:cstheme="minorEastAsia"/>
          <w:b w:val="0"/>
          <w:bCs w:val="0"/>
          <w:color w:val="auto"/>
          <w:sz w:val="24"/>
          <w:szCs w:val="24"/>
          <w:highlight w:val="none"/>
        </w:rPr>
        <w:t xml:space="preserve">）本项目理赔赔款支付时限承诺自受理之日起计算，承保人应在接到理赔申请后详细告知申请人需要提供的材料，如申请人符合理赔条件，承保人不得以材料不齐等拖延赔付，应通过预赔付等机制及时履约。</w:t>
      </w:r>
      <w:r/>
    </w:p>
    <w:p>
      <w:pPr>
        <w:pStyle w:val="1558"/>
        <w:ind w:firstLine="360"/>
        <w:spacing w:line="50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w:t>
      </w:r>
      <w:r>
        <w:rPr>
          <w:rStyle w:val="785"/>
          <w:rFonts w:hint="eastAsia" w:asciiTheme="minorEastAsia" w:hAnsiTheme="minorEastAsia" w:eastAsiaTheme="minorEastAsia" w:cstheme="minorEastAsia"/>
          <w:b w:val="0"/>
          <w:bCs w:val="0"/>
          <w:color w:val="auto"/>
          <w:sz w:val="24"/>
          <w:szCs w:val="24"/>
          <w:highlight w:val="none"/>
          <w:lang w:val="en-US" w:eastAsia="zh-CN"/>
        </w:rPr>
        <w:t xml:space="preserve">7</w:t>
      </w:r>
      <w:r>
        <w:rPr>
          <w:rStyle w:val="785"/>
          <w:rFonts w:hint="eastAsia" w:asciiTheme="minorEastAsia" w:hAnsiTheme="minorEastAsia" w:eastAsiaTheme="minorEastAsia" w:cstheme="minorEastAsia"/>
          <w:b w:val="0"/>
          <w:bCs w:val="0"/>
          <w:color w:val="auto"/>
          <w:sz w:val="24"/>
          <w:szCs w:val="24"/>
          <w:highlight w:val="none"/>
        </w:rPr>
        <w:t xml:space="preserve">）承保人在合同有效期内需接受项目服务区域内各级残联监督。如1年内发生任何有效投诉超过3起（含），一经查实，立即终止承保人的资格，情节严重的，取消中标资格，如有向参保残疾人另行收取保费、截留挪用保险赔偿金的，经认定后由采购人视情处理，构成违法的，依法处理。</w:t>
      </w:r>
      <w:r/>
    </w:p>
    <w:p>
      <w:pPr>
        <w:pStyle w:val="1557"/>
        <w:ind w:left="0" w:firstLine="482"/>
        <w:spacing w:line="440" w:lineRule="exact"/>
        <w:rPr>
          <w:rStyle w:val="785"/>
          <w:rFonts w:hint="eastAsia" w:asciiTheme="minorEastAsia" w:hAnsiTheme="minorEastAsia" w:eastAsiaTheme="minorEastAsia" w:cstheme="minorEastAsia"/>
          <w:b/>
          <w:bCs/>
          <w:color w:val="auto"/>
          <w:sz w:val="24"/>
          <w:szCs w:val="24"/>
          <w:highlight w:val="none"/>
        </w:rPr>
      </w:pPr>
      <w:r>
        <w:rPr>
          <w:rStyle w:val="785"/>
          <w:rFonts w:hint="eastAsia" w:asciiTheme="minorEastAsia" w:hAnsiTheme="minorEastAsia" w:eastAsiaTheme="minorEastAsia" w:cstheme="minorEastAsia"/>
          <w:b/>
          <w:bCs/>
          <w:color w:val="auto"/>
          <w:sz w:val="24"/>
          <w:szCs w:val="24"/>
          <w:highlight w:val="none"/>
          <w:lang w:val="en-US" w:eastAsia="zh-CN"/>
        </w:rPr>
        <w:t xml:space="preserve">七</w:t>
      </w:r>
      <w:r>
        <w:rPr>
          <w:rStyle w:val="785"/>
          <w:rFonts w:hint="eastAsia" w:asciiTheme="minorEastAsia" w:hAnsiTheme="minorEastAsia" w:eastAsiaTheme="minorEastAsia" w:cstheme="minorEastAsia"/>
          <w:b/>
          <w:bCs/>
          <w:color w:val="auto"/>
          <w:sz w:val="24"/>
          <w:szCs w:val="24"/>
          <w:highlight w:val="none"/>
        </w:rPr>
        <w:t xml:space="preserve">、付款方式</w:t>
      </w:r>
      <w:r/>
    </w:p>
    <w:p>
      <w:pPr>
        <w:ind w:firstLine="482"/>
        <w:spacing w:line="559" w:lineRule="atLeast"/>
        <w:shd w:val="clear" w:color="auto"/>
        <w:rPr>
          <w:rFonts w:hint="eastAsia" w:asciiTheme="minorEastAsia" w:hAnsiTheme="minorEastAsia" w:eastAsiaTheme="minorEastAsia" w:cstheme="minorEastAsia"/>
          <w:b w:val="0"/>
          <w:bCs w:val="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1"/>
          <w:szCs w:val="21"/>
          <w:highlight w:val="none"/>
        </w:rPr>
        <w:t xml:space="preserve">预</w:t>
      </w:r>
      <w:r>
        <w:rPr>
          <w:rFonts w:hint="eastAsia" w:asciiTheme="minorEastAsia" w:hAnsiTheme="minorEastAsia" w:eastAsiaTheme="minorEastAsia" w:cstheme="minorEastAsia"/>
          <w:b w:val="0"/>
          <w:bCs w:val="0"/>
          <w:color w:val="auto"/>
          <w:sz w:val="21"/>
          <w:szCs w:val="21"/>
          <w:highlight w:val="none"/>
          <w:lang w:val="en-US" w:eastAsia="zh-CN"/>
        </w:rPr>
        <w:t xml:space="preserve">付款：签订合同并收到供应商发票后10个工作日内支付合同总价款的10%；</w:t>
      </w:r>
      <w:r/>
    </w:p>
    <w:p>
      <w:pPr>
        <w:ind w:firstLine="482"/>
        <w:jc w:val="left"/>
        <w:spacing w:line="440" w:lineRule="exact"/>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进度款：</w:t>
      </w:r>
      <w:r>
        <w:rPr>
          <w:rFonts w:hint="eastAsia" w:ascii="宋体" w:hAnsi="宋体" w:eastAsia="宋体" w:cs="宋体"/>
          <w:b w:val="0"/>
          <w:color w:val="auto"/>
          <w:sz w:val="21"/>
          <w:szCs w:val="21"/>
          <w:highlight w:val="none"/>
        </w:rPr>
        <w:t xml:space="preserve">剩余款项根据考核情况，据实结算</w:t>
      </w:r>
      <w:r>
        <w:rPr>
          <w:rFonts w:hint="eastAsia" w:ascii="宋体" w:hAnsi="宋体" w:cs="宋体"/>
          <w:b w:val="0"/>
          <w:color w:val="auto"/>
          <w:sz w:val="21"/>
          <w:szCs w:val="21"/>
          <w:highlight w:val="none"/>
          <w:lang w:eastAsia="zh-CN"/>
        </w:rPr>
        <w:t xml:space="preserve">。</w:t>
      </w:r>
      <w:r>
        <w:rPr>
          <w:rFonts w:hint="eastAsia" w:ascii="宋体" w:hAnsi="宋体" w:eastAsia="宋体" w:cs="宋体"/>
          <w:color w:val="auto"/>
          <w:sz w:val="21"/>
          <w:szCs w:val="21"/>
          <w:highlight w:val="none"/>
        </w:rPr>
        <w:t xml:space="preserve">被保险人的保险费由甲方全额承担，保单出具后按每一个保险期间支付该保险期间保险费的90%</w:t>
      </w:r>
      <w:r>
        <w:rPr>
          <w:rFonts w:hint="eastAsia" w:ascii="宋体" w:hAnsi="宋体" w:eastAsia="宋体" w:cs="宋体"/>
          <w:color w:val="auto"/>
          <w:sz w:val="21"/>
          <w:szCs w:val="21"/>
          <w:highlight w:val="none"/>
          <w:lang w:eastAsia="zh-CN"/>
        </w:rPr>
        <w:t xml:space="preserve">，</w:t>
      </w:r>
      <w:r>
        <w:rPr>
          <w:rFonts w:hint="eastAsia" w:ascii="宋体" w:hAnsi="宋体" w:cs="宋体"/>
          <w:b w:val="0"/>
          <w:bCs w:val="0"/>
          <w:color w:val="000000"/>
          <w:sz w:val="21"/>
          <w:szCs w:val="21"/>
          <w:highlight w:val="none"/>
          <w:lang w:eastAsia="zh-CN" w:bidi="ar"/>
        </w:rPr>
        <w:t xml:space="preserve">剩余10%待考核后一次性支付。</w:t>
      </w:r>
      <w:r/>
    </w:p>
    <w:p>
      <w:pPr>
        <w:ind w:firstLine="482"/>
        <w:spacing w:line="559" w:lineRule="atLeast"/>
        <w:shd w:val="clear" w:color="auto"/>
        <w:rPr>
          <w:rFonts w:hint="eastAsia" w:asciiTheme="minorEastAsia" w:hAnsiTheme="minorEastAsia" w:eastAsiaTheme="minorEastAsia" w:cstheme="minorEastAsia"/>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highlight w:val="none"/>
        </w:rPr>
        <w:t xml:space="preserve">备注:</w:t>
      </w:r>
      <w:r/>
    </w:p>
    <w:p>
      <w:pPr>
        <w:ind w:firstLine="482"/>
        <w:spacing w:line="559" w:lineRule="atLeast"/>
        <w:shd w:val="clear" w:color="auto"/>
        <w:rPr>
          <w:rFonts w:hint="eastAsia" w:asciiTheme="minorEastAsia" w:hAnsiTheme="minorEastAsia" w:eastAsiaTheme="minorEastAsia" w:cstheme="minorEastAsia"/>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highlight w:val="none"/>
        </w:rPr>
        <w:t xml:space="preserve">(1)可以采用数字人民币支付。</w:t>
      </w:r>
      <w:r/>
    </w:p>
    <w:p>
      <w:pPr>
        <w:ind w:firstLine="482"/>
        <w:spacing w:line="559" w:lineRule="atLeast"/>
        <w:shd w:val="clear" w:color="auto"/>
        <w:rPr>
          <w:rFonts w:hint="eastAsia" w:asciiTheme="minorEastAsia" w:hAnsiTheme="minorEastAsia" w:eastAsiaTheme="minorEastAsia" w:cstheme="minorEastAsia"/>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highlight w:val="none"/>
        </w:rPr>
        <w:t xml:space="preserve">(2)资金支付的时间:收到供应商发票后10个工作日内。</w:t>
      </w:r>
      <w:r/>
    </w:p>
    <w:p>
      <w:pPr>
        <w:ind w:firstLine="482"/>
        <w:spacing w:line="559" w:lineRule="atLeast"/>
        <w:shd w:val="clear" w:color="auto"/>
        <w:rPr>
          <w:rFonts w:hint="eastAsia" w:asciiTheme="minorEastAsia" w:hAnsiTheme="minorEastAsia" w:eastAsiaTheme="minorEastAsia" w:cstheme="minorEastAsia"/>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highlight w:val="none"/>
        </w:rPr>
        <w:t xml:space="preserve">(3)资金支付的条件:满足相应阶段的要求且收到供应商发票。</w:t>
      </w:r>
      <w:r/>
    </w:p>
    <w:p>
      <w:pPr>
        <w:ind w:firstLine="482"/>
        <w:spacing w:line="559" w:lineRule="atLeast"/>
        <w:shd w:val="clear" w:color="auto"/>
        <w:rPr>
          <w:rFonts w:hint="eastAsia" w:asciiTheme="minorEastAsia" w:hAnsiTheme="minorEastAsia" w:eastAsiaTheme="minorEastAsia" w:cstheme="minorEastAsia"/>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highlight w:val="none"/>
        </w:rPr>
        <w:t xml:space="preserve">(4)</w:t>
      </w:r>
      <w:r>
        <w:rPr>
          <w:rFonts w:hint="eastAsia" w:asciiTheme="minorEastAsia" w:hAnsiTheme="minorEastAsia" w:eastAsiaTheme="minorEastAsia" w:cstheme="minorEastAsia"/>
          <w:b w:val="0"/>
          <w:bCs w:val="0"/>
          <w:color w:val="auto"/>
          <w:sz w:val="24"/>
          <w:highlight w:val="none"/>
          <w:lang w:val="en-US" w:eastAsia="zh-CN"/>
        </w:rPr>
        <w:t xml:space="preserve">由于每年度符合参保条件的人数中途可能会发生变动，按实际名单人数出具保险保单，按实结算费用。</w:t>
      </w:r>
      <w:r/>
    </w:p>
    <w:p>
      <w:pPr>
        <w:ind w:firstLine="482"/>
        <w:spacing w:line="559" w:lineRule="atLeast"/>
        <w:shd w:val="clear" w:color="auto"/>
        <w:rPr>
          <w:rStyle w:val="785"/>
          <w:rFonts w:hint="eastAsia" w:ascii="宋体" w:hAnsi="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highlight w:val="none"/>
        </w:rPr>
        <w:t xml:space="preserve">(5)在签订合同时，供应商明确表示无需预付款或者主动要求降低预付款比例的，采购人可不适用前述规定。</w:t>
      </w:r>
      <w:r/>
    </w:p>
    <w:p>
      <w:pPr>
        <w:pStyle w:val="1557"/>
        <w:ind w:left="0" w:firstLine="482"/>
        <w:spacing w:line="440" w:lineRule="exact"/>
        <w:rPr>
          <w:rStyle w:val="785"/>
          <w:rFonts w:hint="eastAsia" w:asciiTheme="minorEastAsia" w:hAnsiTheme="minorEastAsia" w:eastAsiaTheme="minorEastAsia" w:cstheme="minorEastAsia"/>
          <w:b/>
          <w:bCs/>
          <w:color w:val="auto"/>
          <w:sz w:val="24"/>
          <w:szCs w:val="24"/>
          <w:highlight w:val="none"/>
          <w:lang w:val="en-US"/>
        </w:rPr>
      </w:pPr>
      <w:r>
        <w:rPr>
          <w:rStyle w:val="785"/>
          <w:rFonts w:hint="eastAsia" w:asciiTheme="minorEastAsia" w:hAnsiTheme="minorEastAsia" w:eastAsiaTheme="minorEastAsia" w:cstheme="minorEastAsia"/>
          <w:b/>
          <w:bCs/>
          <w:color w:val="auto"/>
          <w:sz w:val="24"/>
          <w:szCs w:val="24"/>
          <w:highlight w:val="none"/>
          <w:lang w:val="en-US" w:eastAsia="zh-CN"/>
        </w:rPr>
        <w:t xml:space="preserve">八</w:t>
      </w:r>
      <w:r>
        <w:rPr>
          <w:rStyle w:val="785"/>
          <w:rFonts w:hint="eastAsia" w:asciiTheme="minorEastAsia" w:hAnsiTheme="minorEastAsia" w:eastAsiaTheme="minorEastAsia" w:cstheme="minorEastAsia"/>
          <w:b/>
          <w:bCs/>
          <w:color w:val="auto"/>
          <w:sz w:val="24"/>
          <w:szCs w:val="24"/>
          <w:highlight w:val="none"/>
          <w:lang w:val="en-US"/>
        </w:rPr>
        <w:t xml:space="preserve">、争议处理</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甲乙双方在出现违约或其它争议时，应本着友好协商，解决予盾的原则来处理，尽量使事情有一个圆满的解决方案。如甲乙双方协商不成时，可采取以下方式:</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1.变更和修改合同；</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2.终止合作协议；</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3.可向甲方所在地的人民法院提出诉讼。</w:t>
      </w:r>
      <w:r/>
    </w:p>
    <w:p>
      <w:pPr>
        <w:pStyle w:val="832"/>
        <w:ind w:firstLine="482"/>
        <w:jc w:val="left"/>
        <w:spacing w:line="440" w:lineRule="exact"/>
        <w:rPr>
          <w:rStyle w:val="785"/>
          <w:rFonts w:hint="eastAsia" w:asciiTheme="minorEastAsia" w:hAnsiTheme="minorEastAsia" w:eastAsiaTheme="minorEastAsia" w:cstheme="minorEastAsia"/>
          <w:b/>
          <w:bCs/>
          <w:color w:val="auto"/>
          <w:sz w:val="24"/>
          <w:szCs w:val="24"/>
          <w:highlight w:val="none"/>
        </w:rPr>
      </w:pPr>
      <w:r>
        <w:rPr>
          <w:rStyle w:val="785"/>
          <w:rFonts w:hint="eastAsia" w:asciiTheme="minorEastAsia" w:hAnsiTheme="minorEastAsia" w:eastAsiaTheme="minorEastAsia" w:cstheme="minorEastAsia"/>
          <w:b/>
          <w:bCs/>
          <w:color w:val="auto"/>
          <w:sz w:val="24"/>
          <w:szCs w:val="24"/>
          <w:highlight w:val="none"/>
          <w:lang w:val="en-US" w:eastAsia="zh-CN"/>
        </w:rPr>
        <w:t xml:space="preserve">九</w:t>
      </w:r>
      <w:r>
        <w:rPr>
          <w:rStyle w:val="785"/>
          <w:rFonts w:hint="eastAsia" w:asciiTheme="minorEastAsia" w:hAnsiTheme="minorEastAsia" w:eastAsiaTheme="minorEastAsia" w:cstheme="minorEastAsia"/>
          <w:b/>
          <w:bCs/>
          <w:color w:val="auto"/>
          <w:sz w:val="24"/>
          <w:szCs w:val="24"/>
          <w:highlight w:val="none"/>
        </w:rPr>
        <w:t xml:space="preserve">、履约保证金</w:t>
      </w:r>
      <w:r/>
    </w:p>
    <w:p>
      <w:pPr>
        <w:pStyle w:val="1474"/>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收取履约保证金形式：</w:t>
      </w:r>
      <w:r>
        <w:rPr>
          <w:rFonts w:hint="eastAsia" w:ascii="宋体" w:hAnsi="宋体" w:eastAsia="宋体" w:cs="宋体"/>
          <w:color w:val="auto"/>
          <w:sz w:val="24"/>
          <w:szCs w:val="24"/>
          <w:highlight w:val="none"/>
          <w:u w:val="single"/>
          <w:lang w:val="en-US" w:eastAsia="zh-CN"/>
        </w:rPr>
        <w:t xml:space="preserve">江苏政府采购电子履约保函； </w:t>
      </w:r>
      <w:r/>
    </w:p>
    <w:p>
      <w:pPr>
        <w:pStyle w:val="1474"/>
        <w:ind w:firstLine="480"/>
        <w:spacing w:line="48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收取履约保证金金额：</w:t>
      </w:r>
      <w:r>
        <w:rPr>
          <w:rFonts w:hint="eastAsia" w:ascii="宋体" w:hAnsi="宋体" w:eastAsia="宋体" w:cs="宋体"/>
          <w:color w:val="auto"/>
          <w:sz w:val="24"/>
          <w:szCs w:val="24"/>
          <w:highlight w:val="none"/>
          <w:u w:val="single"/>
          <w:lang w:val="zh-CN" w:eastAsia="zh-CN"/>
        </w:rPr>
        <w:t xml:space="preserve">按采购合同总价的 2%（使用江苏政府采购电子履约保函(保险)代替缴纳履约保证金，按采购合同总价的1.2%)计取</w:t>
      </w:r>
      <w:r>
        <w:rPr>
          <w:rFonts w:hint="eastAsia" w:ascii="宋体" w:hAnsi="宋体" w:eastAsia="宋体" w:cs="宋体"/>
          <w:color w:val="auto"/>
          <w:sz w:val="24"/>
          <w:szCs w:val="24"/>
          <w:highlight w:val="none"/>
          <w:lang w:val="zh-CN" w:eastAsia="zh-CN"/>
        </w:rPr>
        <w:t xml:space="preserve">。</w:t>
      </w:r>
      <w:r/>
    </w:p>
    <w:p>
      <w:pPr>
        <w:pStyle w:val="1474"/>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履约担保期限：</w:t>
      </w:r>
      <w:r>
        <w:rPr>
          <w:rFonts w:hint="eastAsia" w:ascii="宋体" w:hAnsi="宋体" w:eastAsia="宋体" w:cs="宋体"/>
          <w:color w:val="auto"/>
          <w:sz w:val="24"/>
          <w:szCs w:val="24"/>
          <w:highlight w:val="none"/>
          <w:u w:val="single"/>
          <w:lang w:val="en-US" w:eastAsia="zh-CN"/>
        </w:rPr>
        <w:t xml:space="preserve">履约验收合格为止</w:t>
      </w:r>
      <w:r>
        <w:rPr>
          <w:rFonts w:hint="eastAsia" w:ascii="宋体" w:hAnsi="宋体" w:eastAsia="宋体" w:cs="宋体"/>
          <w:color w:val="auto"/>
          <w:sz w:val="24"/>
          <w:szCs w:val="24"/>
          <w:highlight w:val="none"/>
          <w:lang w:val="en-US" w:eastAsia="zh-CN"/>
        </w:rPr>
        <w:t xml:space="preserve">。 </w:t>
      </w:r>
      <w:r/>
    </w:p>
    <w:p>
      <w:pPr>
        <w:pStyle w:val="832"/>
        <w:ind w:firstLine="482"/>
        <w:jc w:val="left"/>
        <w:spacing w:line="440" w:lineRule="exact"/>
        <w:rPr>
          <w:rStyle w:val="785"/>
          <w:rFonts w:hint="eastAsia" w:asciiTheme="minorEastAsia" w:hAnsiTheme="minorEastAsia" w:eastAsiaTheme="minorEastAsia" w:cstheme="minorEastAsia"/>
          <w:b/>
          <w:bCs/>
          <w:color w:val="auto"/>
          <w:sz w:val="24"/>
          <w:szCs w:val="24"/>
          <w:highlight w:val="none"/>
        </w:rPr>
      </w:pPr>
      <w:r>
        <w:rPr>
          <w:rStyle w:val="785"/>
          <w:rFonts w:hint="eastAsia" w:asciiTheme="minorEastAsia" w:hAnsiTheme="minorEastAsia" w:eastAsiaTheme="minorEastAsia" w:cstheme="minorEastAsia"/>
          <w:b/>
          <w:bCs/>
          <w:color w:val="auto"/>
          <w:sz w:val="24"/>
          <w:szCs w:val="24"/>
          <w:highlight w:val="none"/>
          <w:lang w:val="en-US" w:eastAsia="zh-CN"/>
        </w:rPr>
        <w:t xml:space="preserve">十</w:t>
      </w:r>
      <w:r>
        <w:rPr>
          <w:rStyle w:val="785"/>
          <w:rFonts w:hint="eastAsia" w:asciiTheme="minorEastAsia" w:hAnsiTheme="minorEastAsia" w:eastAsiaTheme="minorEastAsia" w:cstheme="minorEastAsia"/>
          <w:b/>
          <w:bCs/>
          <w:color w:val="auto"/>
          <w:sz w:val="24"/>
          <w:szCs w:val="24"/>
          <w:highlight w:val="none"/>
        </w:rPr>
        <w:t xml:space="preserve">、违约条款</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（一）乙方不按期完成合同约定的内容，应向甲方支付违约金，除甲方或不可抗力造成原因外，未按要求执行保单，每有一次按合同总价款的2‰支付违约金；延期超过15个工作日，甲方有权解除合同。</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（二）非因甲方原因，乙方不履行本合同规定的义务，致使工作延误，甲方有权要求其履行或解除合同，并要求乙方等额赔偿由此造成的一切损失。</w:t>
      </w:r>
      <w:r/>
    </w:p>
    <w:p>
      <w:pPr>
        <w:pStyle w:val="832"/>
        <w:ind w:firstLine="482"/>
        <w:jc w:val="left"/>
        <w:spacing w:line="440" w:lineRule="exact"/>
        <w:rPr>
          <w:rStyle w:val="785"/>
          <w:rFonts w:hint="eastAsia" w:asciiTheme="minorEastAsia" w:hAnsiTheme="minorEastAsia" w:eastAsiaTheme="minorEastAsia" w:cstheme="minorEastAsia"/>
          <w:b/>
          <w:bCs/>
          <w:color w:val="auto"/>
          <w:sz w:val="24"/>
          <w:szCs w:val="24"/>
          <w:highlight w:val="none"/>
        </w:rPr>
      </w:pPr>
      <w:r>
        <w:rPr>
          <w:rStyle w:val="785"/>
          <w:rFonts w:hint="eastAsia" w:asciiTheme="minorEastAsia" w:hAnsiTheme="minorEastAsia" w:eastAsiaTheme="minorEastAsia" w:cstheme="minorEastAsia"/>
          <w:b/>
          <w:bCs/>
          <w:color w:val="auto"/>
          <w:sz w:val="24"/>
          <w:szCs w:val="24"/>
          <w:highlight w:val="none"/>
        </w:rPr>
        <w:t xml:space="preserve">十</w:t>
      </w:r>
      <w:r>
        <w:rPr>
          <w:rStyle w:val="785"/>
          <w:rFonts w:hint="eastAsia" w:asciiTheme="minorEastAsia" w:hAnsiTheme="minorEastAsia" w:eastAsiaTheme="minorEastAsia" w:cstheme="minorEastAsia"/>
          <w:b/>
          <w:bCs/>
          <w:color w:val="auto"/>
          <w:sz w:val="24"/>
          <w:szCs w:val="24"/>
          <w:highlight w:val="none"/>
          <w:lang w:val="en-US" w:eastAsia="zh-CN"/>
        </w:rPr>
        <w:t xml:space="preserve">一</w:t>
      </w:r>
      <w:r>
        <w:rPr>
          <w:rStyle w:val="785"/>
          <w:rFonts w:hint="eastAsia" w:asciiTheme="minorEastAsia" w:hAnsiTheme="minorEastAsia" w:eastAsiaTheme="minorEastAsia" w:cstheme="minorEastAsia"/>
          <w:b/>
          <w:bCs/>
          <w:color w:val="auto"/>
          <w:sz w:val="24"/>
          <w:szCs w:val="24"/>
          <w:highlight w:val="none"/>
        </w:rPr>
        <w:t xml:space="preserve">、合同生效及审核</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本合同经甲方、乙方签字盖章后生效并实施，合同签订的内容不能超出</w:t>
      </w:r>
      <w:r>
        <w:rPr>
          <w:rStyle w:val="785"/>
          <w:rFonts w:hint="eastAsia" w:asciiTheme="minorEastAsia" w:hAnsiTheme="minorEastAsia" w:eastAsiaTheme="minorEastAsia" w:cstheme="minorEastAsia"/>
          <w:b w:val="0"/>
          <w:bCs w:val="0"/>
          <w:color w:val="auto"/>
          <w:sz w:val="24"/>
          <w:szCs w:val="24"/>
          <w:highlight w:val="none"/>
          <w:lang w:eastAsia="zh-CN"/>
        </w:rPr>
        <w:t xml:space="preserve">磋商文件</w:t>
      </w:r>
      <w:r>
        <w:rPr>
          <w:rStyle w:val="785"/>
          <w:rFonts w:hint="eastAsia" w:asciiTheme="minorEastAsia" w:hAnsiTheme="minorEastAsia" w:eastAsiaTheme="minorEastAsia" w:cstheme="minorEastAsia"/>
          <w:b w:val="0"/>
          <w:bCs w:val="0"/>
          <w:color w:val="auto"/>
          <w:sz w:val="24"/>
          <w:szCs w:val="24"/>
          <w:highlight w:val="none"/>
        </w:rPr>
        <w:t xml:space="preserve">和</w:t>
      </w:r>
      <w:r>
        <w:rPr>
          <w:rStyle w:val="785"/>
          <w:rFonts w:hint="eastAsia" w:asciiTheme="minorEastAsia" w:hAnsiTheme="minorEastAsia" w:eastAsiaTheme="minorEastAsia" w:cstheme="minorEastAsia"/>
          <w:b w:val="0"/>
          <w:bCs w:val="0"/>
          <w:color w:val="auto"/>
          <w:sz w:val="24"/>
          <w:szCs w:val="24"/>
          <w:highlight w:val="none"/>
          <w:lang w:eastAsia="zh-CN"/>
        </w:rPr>
        <w:t xml:space="preserve">响应文件</w:t>
      </w:r>
      <w:r>
        <w:rPr>
          <w:rStyle w:val="785"/>
          <w:rFonts w:hint="eastAsia" w:asciiTheme="minorEastAsia" w:hAnsiTheme="minorEastAsia" w:eastAsiaTheme="minorEastAsia" w:cstheme="minorEastAsia"/>
          <w:b w:val="0"/>
          <w:bCs w:val="0"/>
          <w:color w:val="auto"/>
          <w:sz w:val="24"/>
          <w:szCs w:val="24"/>
          <w:highlight w:val="none"/>
        </w:rPr>
        <w:t xml:space="preserve">的实质性内容。</w:t>
      </w:r>
      <w:r/>
    </w:p>
    <w:p>
      <w:pPr>
        <w:pStyle w:val="1557"/>
        <w:ind w:left="0" w:firstLine="482"/>
        <w:spacing w:line="440" w:lineRule="exact"/>
        <w:rPr>
          <w:rStyle w:val="785"/>
          <w:rFonts w:hint="eastAsia" w:asciiTheme="minorEastAsia" w:hAnsiTheme="minorEastAsia" w:eastAsiaTheme="minorEastAsia" w:cstheme="minorEastAsia"/>
          <w:b/>
          <w:bCs/>
          <w:color w:val="auto"/>
          <w:sz w:val="24"/>
          <w:szCs w:val="24"/>
          <w:highlight w:val="none"/>
        </w:rPr>
      </w:pPr>
      <w:r>
        <w:rPr>
          <w:rStyle w:val="785"/>
          <w:rFonts w:hint="eastAsia" w:asciiTheme="minorEastAsia" w:hAnsiTheme="minorEastAsia" w:eastAsiaTheme="minorEastAsia" w:cstheme="minorEastAsia"/>
          <w:b/>
          <w:bCs/>
          <w:color w:val="auto"/>
          <w:sz w:val="24"/>
          <w:szCs w:val="24"/>
          <w:highlight w:val="none"/>
        </w:rPr>
        <w:t xml:space="preserve">十</w:t>
      </w:r>
      <w:r>
        <w:rPr>
          <w:rStyle w:val="785"/>
          <w:rFonts w:hint="eastAsia" w:asciiTheme="minorEastAsia" w:hAnsiTheme="minorEastAsia" w:eastAsiaTheme="minorEastAsia" w:cstheme="minorEastAsia"/>
          <w:b/>
          <w:bCs/>
          <w:color w:val="auto"/>
          <w:sz w:val="24"/>
          <w:szCs w:val="24"/>
          <w:highlight w:val="none"/>
          <w:lang w:val="en-US" w:eastAsia="zh-CN"/>
        </w:rPr>
        <w:t xml:space="preserve">二</w:t>
      </w:r>
      <w:r>
        <w:rPr>
          <w:rStyle w:val="785"/>
          <w:rFonts w:hint="eastAsia" w:asciiTheme="minorEastAsia" w:hAnsiTheme="minorEastAsia" w:eastAsiaTheme="minorEastAsia" w:cstheme="minorEastAsia"/>
          <w:b/>
          <w:bCs/>
          <w:color w:val="auto"/>
          <w:sz w:val="24"/>
          <w:szCs w:val="24"/>
          <w:highlight w:val="none"/>
        </w:rPr>
        <w:t xml:space="preserve">、合同的组成部分</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3295015</wp:posOffset>
                </wp:positionH>
                <wp:positionV relativeFrom="paragraph">
                  <wp:posOffset>100965</wp:posOffset>
                </wp:positionV>
                <wp:extent cx="76200" cy="304800"/>
                <wp:effectExtent l="0" t="0" r="0" b="0"/>
                <wp:wrapNone/>
                <wp:docPr id="7"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png"/>
                        <pic:cNvPicPr>
                          <a:picLocks noChangeAspect="1"/>
                        </pic:cNvPicPr>
                        <pic:nvPr/>
                      </pic:nvPicPr>
                      <pic:blipFill>
                        <a:blip r:embed="rId14"/>
                        <a:stretch/>
                      </pic:blipFill>
                      <pic:spPr bwMode="auto">
                        <a:xfrm>
                          <a:off x="0" y="0"/>
                          <a:ext cx="76200" cy="304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1312;o:allowoverlap:true;o:allowincell:true;mso-position-horizontal-relative:page;margin-left:259.4pt;mso-position-horizontal:absolute;mso-position-vertical-relative:text;margin-top:7.9pt;mso-position-vertical:absolute;width:6.0pt;height:24.0pt;mso-wrap-distance-left:9.0pt;mso-wrap-distance-top:0.0pt;mso-wrap-distance-right:9.0pt;mso-wrap-distance-bottom:0.0pt;" stroked="f">
                <v:path textboxrect="0,0,0,0"/>
                <v:imagedata r:id="rId14" o:title=""/>
              </v:shape>
            </w:pict>
          </mc:Fallback>
        </mc:AlternateContent>
      </w:r>
      <w:r>
        <w:rPr>
          <w:rStyle w:val="785"/>
          <w:rFonts w:hint="eastAsia" w:asciiTheme="minorEastAsia" w:hAnsiTheme="minorEastAsia" w:eastAsiaTheme="minorEastAsia" w:cstheme="minorEastAsia"/>
          <w:b w:val="0"/>
          <w:bCs w:val="0"/>
          <w:color w:val="auto"/>
          <w:sz w:val="24"/>
          <w:szCs w:val="24"/>
          <w:highlight w:val="none"/>
        </w:rPr>
        <w:t xml:space="preserve">本合同条款、</w:t>
      </w:r>
      <w:r>
        <w:rPr>
          <w:rStyle w:val="785"/>
          <w:rFonts w:hint="eastAsia" w:asciiTheme="minorEastAsia" w:hAnsiTheme="minorEastAsia" w:eastAsiaTheme="minorEastAsia" w:cstheme="minorEastAsia"/>
          <w:b w:val="0"/>
          <w:bCs w:val="0"/>
          <w:color w:val="auto"/>
          <w:sz w:val="24"/>
          <w:szCs w:val="24"/>
          <w:highlight w:val="none"/>
          <w:lang w:eastAsia="zh-CN"/>
        </w:rPr>
        <w:t xml:space="preserve">成交通知书</w:t>
      </w:r>
      <w:r>
        <w:rPr>
          <w:rStyle w:val="785"/>
          <w:rFonts w:hint="eastAsia" w:asciiTheme="minorEastAsia" w:hAnsiTheme="minorEastAsia" w:eastAsiaTheme="minorEastAsia" w:cstheme="minorEastAsia"/>
          <w:b w:val="0"/>
          <w:bCs w:val="0"/>
          <w:color w:val="auto"/>
          <w:sz w:val="24"/>
          <w:szCs w:val="24"/>
          <w:highlight w:val="none"/>
        </w:rPr>
        <w:t xml:space="preserve">、</w:t>
      </w:r>
      <w:r>
        <w:rPr>
          <w:rStyle w:val="785"/>
          <w:rFonts w:hint="eastAsia" w:asciiTheme="minorEastAsia" w:hAnsiTheme="minorEastAsia" w:eastAsiaTheme="minorEastAsia" w:cstheme="minorEastAsia"/>
          <w:b w:val="0"/>
          <w:bCs w:val="0"/>
          <w:color w:val="auto"/>
          <w:sz w:val="24"/>
          <w:szCs w:val="24"/>
          <w:highlight w:val="none"/>
          <w:lang w:eastAsia="zh-CN"/>
        </w:rPr>
        <w:t xml:space="preserve">磋商文件</w:t>
      </w:r>
      <w:r>
        <w:rPr>
          <w:rStyle w:val="785"/>
          <w:rFonts w:hint="eastAsia" w:asciiTheme="minorEastAsia" w:hAnsiTheme="minorEastAsia" w:eastAsiaTheme="minorEastAsia" w:cstheme="minorEastAsia"/>
          <w:b w:val="0"/>
          <w:bCs w:val="0"/>
          <w:color w:val="auto"/>
          <w:sz w:val="24"/>
          <w:szCs w:val="24"/>
          <w:highlight w:val="none"/>
        </w:rPr>
        <w:t xml:space="preserve">、</w:t>
      </w:r>
      <w:r>
        <w:rPr>
          <w:rStyle w:val="785"/>
          <w:rFonts w:hint="eastAsia" w:asciiTheme="minorEastAsia" w:hAnsiTheme="minorEastAsia" w:eastAsiaTheme="minorEastAsia" w:cstheme="minorEastAsia"/>
          <w:b w:val="0"/>
          <w:bCs w:val="0"/>
          <w:color w:val="auto"/>
          <w:sz w:val="24"/>
          <w:szCs w:val="24"/>
          <w:highlight w:val="none"/>
          <w:lang w:eastAsia="zh-CN"/>
        </w:rPr>
        <w:t xml:space="preserve">响应文件</w:t>
      </w:r>
      <w:r>
        <w:rPr>
          <w:rStyle w:val="785"/>
          <w:rFonts w:hint="eastAsia" w:asciiTheme="minorEastAsia" w:hAnsiTheme="minorEastAsia" w:eastAsiaTheme="minorEastAsia" w:cstheme="minorEastAsia"/>
          <w:b w:val="0"/>
          <w:bCs w:val="0"/>
          <w:color w:val="auto"/>
          <w:sz w:val="24"/>
          <w:szCs w:val="24"/>
          <w:highlight w:val="none"/>
        </w:rPr>
        <w:t xml:space="preserve">及</w:t>
      </w:r>
      <w:r>
        <w:rPr>
          <w:rStyle w:val="785"/>
          <w:rFonts w:hint="eastAsia" w:asciiTheme="minorEastAsia" w:hAnsiTheme="minorEastAsia" w:eastAsiaTheme="minorEastAsia" w:cstheme="minorEastAsia"/>
          <w:b w:val="0"/>
          <w:bCs w:val="0"/>
          <w:color w:val="auto"/>
          <w:sz w:val="24"/>
          <w:szCs w:val="24"/>
          <w:highlight w:val="none"/>
          <w:lang w:eastAsia="zh-CN"/>
        </w:rPr>
        <w:t xml:space="preserve">供应商</w:t>
      </w:r>
      <w:r>
        <w:rPr>
          <w:rStyle w:val="785"/>
          <w:rFonts w:hint="eastAsia" w:asciiTheme="minorEastAsia" w:hAnsiTheme="minorEastAsia" w:eastAsiaTheme="minorEastAsia" w:cstheme="minorEastAsia"/>
          <w:b w:val="0"/>
          <w:bCs w:val="0"/>
          <w:color w:val="auto"/>
          <w:sz w:val="24"/>
          <w:szCs w:val="24"/>
          <w:highlight w:val="none"/>
        </w:rPr>
        <w:t xml:space="preserve">在开标时的书面承诺等构成合同的组成部分。</w:t>
      </w:r>
      <w:r/>
    </w:p>
    <w:p>
      <w:pPr>
        <w:pStyle w:val="832"/>
        <w:ind w:firstLine="482"/>
        <w:jc w:val="left"/>
        <w:spacing w:line="440" w:lineRule="exact"/>
        <w:rPr>
          <w:rStyle w:val="785"/>
          <w:rFonts w:hint="eastAsia" w:asciiTheme="minorEastAsia" w:hAnsiTheme="minorEastAsia" w:eastAsiaTheme="minorEastAsia" w:cstheme="minorEastAsia"/>
          <w:b/>
          <w:bCs/>
          <w:color w:val="auto"/>
          <w:sz w:val="24"/>
          <w:szCs w:val="24"/>
          <w:highlight w:val="none"/>
          <w:lang w:bidi="zh-CN"/>
        </w:rPr>
      </w:pPr>
      <w:r>
        <w:rPr>
          <w:rStyle w:val="785"/>
          <w:rFonts w:hint="eastAsia" w:asciiTheme="minorEastAsia" w:hAnsiTheme="minorEastAsia" w:eastAsiaTheme="minorEastAsia" w:cstheme="minorEastAsia"/>
          <w:b/>
          <w:bCs/>
          <w:color w:val="auto"/>
          <w:sz w:val="24"/>
          <w:szCs w:val="24"/>
          <w:highlight w:val="none"/>
          <w:lang w:bidi="zh-CN"/>
        </w:rPr>
        <w:t xml:space="preserve">十</w:t>
      </w:r>
      <w:r>
        <w:rPr>
          <w:rStyle w:val="785"/>
          <w:rFonts w:hint="eastAsia" w:asciiTheme="minorEastAsia" w:hAnsiTheme="minorEastAsia" w:eastAsiaTheme="minorEastAsia" w:cstheme="minorEastAsia"/>
          <w:b/>
          <w:bCs/>
          <w:color w:val="auto"/>
          <w:sz w:val="24"/>
          <w:szCs w:val="24"/>
          <w:highlight w:val="none"/>
          <w:lang w:val="en-US" w:bidi="zh-CN"/>
        </w:rPr>
        <w:t xml:space="preserve">三</w:t>
      </w:r>
      <w:r>
        <w:rPr>
          <w:rStyle w:val="785"/>
          <w:rFonts w:hint="eastAsia" w:asciiTheme="minorEastAsia" w:hAnsiTheme="minorEastAsia" w:eastAsiaTheme="minorEastAsia" w:cstheme="minorEastAsia"/>
          <w:b/>
          <w:bCs/>
          <w:color w:val="auto"/>
          <w:sz w:val="24"/>
          <w:szCs w:val="24"/>
          <w:highlight w:val="none"/>
          <w:lang w:bidi="zh-CN"/>
        </w:rPr>
        <w:t xml:space="preserve">、合同份数</w:t>
      </w:r>
      <w:r/>
    </w:p>
    <w:p>
      <w:pPr>
        <w:pStyle w:val="832"/>
        <w:ind w:firstLine="480"/>
        <w:jc w:val="left"/>
        <w:spacing w:line="440" w:lineRule="exact"/>
        <w:rPr>
          <w:rStyle w:val="785"/>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val="0"/>
          <w:bCs w:val="0"/>
          <w:color w:val="auto"/>
          <w:sz w:val="24"/>
          <w:szCs w:val="24"/>
          <w:highlight w:val="none"/>
        </w:rPr>
        <w:t xml:space="preserve">本合同签订一式</w:t>
      </w:r>
      <w:r>
        <w:rPr>
          <w:rStyle w:val="785"/>
          <w:rFonts w:hint="eastAsia" w:asciiTheme="minorEastAsia" w:hAnsiTheme="minorEastAsia" w:eastAsiaTheme="minorEastAsia" w:cstheme="minorEastAsia"/>
          <w:b w:val="0"/>
          <w:bCs w:val="0"/>
          <w:color w:val="auto"/>
          <w:sz w:val="24"/>
          <w:szCs w:val="24"/>
          <w:highlight w:val="none"/>
          <w:lang w:val="en-US" w:eastAsia="zh-CN"/>
        </w:rPr>
        <w:t xml:space="preserve">陆</w:t>
      </w:r>
      <w:r>
        <w:rPr>
          <w:rStyle w:val="785"/>
          <w:rFonts w:hint="eastAsia" w:asciiTheme="minorEastAsia" w:hAnsiTheme="minorEastAsia" w:eastAsiaTheme="minorEastAsia" w:cstheme="minorEastAsia"/>
          <w:b w:val="0"/>
          <w:bCs w:val="0"/>
          <w:color w:val="auto"/>
          <w:sz w:val="24"/>
          <w:szCs w:val="24"/>
          <w:highlight w:val="none"/>
        </w:rPr>
        <w:t xml:space="preserve">份，以中文书写，甲方、乙方各执</w:t>
      </w:r>
      <w:r>
        <w:rPr>
          <w:rStyle w:val="785"/>
          <w:rFonts w:hint="eastAsia" w:asciiTheme="minorEastAsia" w:hAnsiTheme="minorEastAsia" w:eastAsiaTheme="minorEastAsia" w:cstheme="minorEastAsia"/>
          <w:b w:val="0"/>
          <w:bCs w:val="0"/>
          <w:color w:val="auto"/>
          <w:sz w:val="24"/>
          <w:szCs w:val="24"/>
          <w:highlight w:val="none"/>
          <w:lang w:val="en-US" w:eastAsia="zh-CN"/>
        </w:rPr>
        <w:t xml:space="preserve">贰</w:t>
      </w:r>
      <w:r>
        <w:rPr>
          <w:rStyle w:val="785"/>
          <w:rFonts w:hint="eastAsia" w:asciiTheme="minorEastAsia" w:hAnsiTheme="minorEastAsia" w:eastAsiaTheme="minorEastAsia" w:cstheme="minorEastAsia"/>
          <w:b w:val="0"/>
          <w:bCs w:val="0"/>
          <w:color w:val="auto"/>
          <w:sz w:val="24"/>
          <w:szCs w:val="24"/>
          <w:highlight w:val="none"/>
        </w:rPr>
        <w:t xml:space="preserve">份，采购代理机构</w:t>
      </w:r>
      <w:r>
        <w:rPr>
          <w:rStyle w:val="785"/>
          <w:rFonts w:hint="eastAsia" w:asciiTheme="minorEastAsia" w:hAnsiTheme="minorEastAsia" w:eastAsiaTheme="minorEastAsia" w:cstheme="minorEastAsia"/>
          <w:b w:val="0"/>
          <w:bCs w:val="0"/>
          <w:color w:val="auto"/>
          <w:sz w:val="24"/>
          <w:szCs w:val="24"/>
          <w:highlight w:val="none"/>
          <w:lang w:val="en-US" w:eastAsia="zh-CN"/>
        </w:rPr>
        <w:t xml:space="preserve">执贰</w:t>
      </w:r>
      <w:r>
        <w:rPr>
          <w:rStyle w:val="785"/>
          <w:rFonts w:hint="eastAsia" w:asciiTheme="minorEastAsia" w:hAnsiTheme="minorEastAsia" w:eastAsiaTheme="minorEastAsia" w:cstheme="minorEastAsia"/>
          <w:b w:val="0"/>
          <w:bCs w:val="0"/>
          <w:color w:val="auto"/>
          <w:sz w:val="24"/>
          <w:szCs w:val="24"/>
          <w:highlight w:val="none"/>
        </w:rPr>
        <w:t xml:space="preserve">份。</w:t>
      </w:r>
      <w:r/>
    </w:p>
    <w:p>
      <w:pPr>
        <w:pStyle w:val="832"/>
        <w:ind w:firstLine="482"/>
        <w:jc w:val="left"/>
        <w:spacing w:line="440" w:lineRule="exact"/>
        <w:rPr>
          <w:rFonts w:hint="eastAsia" w:asciiTheme="minorEastAsia" w:hAnsiTheme="minorEastAsia" w:eastAsiaTheme="minorEastAsia" w:cstheme="minorEastAsia"/>
          <w:b w:val="0"/>
          <w:bCs w:val="0"/>
          <w:color w:val="auto"/>
          <w:sz w:val="24"/>
          <w:szCs w:val="24"/>
          <w:highlight w:val="none"/>
        </w:rPr>
      </w:pPr>
      <w:r>
        <w:rPr>
          <w:rStyle w:val="785"/>
          <w:rFonts w:hint="eastAsia" w:asciiTheme="minorEastAsia" w:hAnsiTheme="minorEastAsia" w:eastAsiaTheme="minorEastAsia" w:cstheme="minorEastAsia"/>
          <w:b/>
          <w:bCs/>
          <w:color w:val="auto"/>
          <w:sz w:val="24"/>
          <w:szCs w:val="24"/>
          <w:highlight w:val="none"/>
          <w:lang w:bidi="zh-CN"/>
        </w:rPr>
        <w:t xml:space="preserve">十</w:t>
      </w:r>
      <w:r>
        <w:rPr>
          <w:rStyle w:val="785"/>
          <w:rFonts w:hint="eastAsia" w:asciiTheme="minorEastAsia" w:hAnsiTheme="minorEastAsia" w:eastAsiaTheme="minorEastAsia" w:cstheme="minorEastAsia"/>
          <w:b/>
          <w:bCs/>
          <w:color w:val="auto"/>
          <w:sz w:val="24"/>
          <w:szCs w:val="24"/>
          <w:highlight w:val="none"/>
          <w:lang w:val="en-US" w:bidi="zh-CN"/>
        </w:rPr>
        <w:t xml:space="preserve">四</w:t>
      </w:r>
      <w:r>
        <w:rPr>
          <w:rStyle w:val="785"/>
          <w:rFonts w:hint="eastAsia" w:asciiTheme="minorEastAsia" w:hAnsiTheme="minorEastAsia" w:eastAsiaTheme="minorEastAsia" w:cstheme="minorEastAsia"/>
          <w:b/>
          <w:bCs/>
          <w:color w:val="auto"/>
          <w:sz w:val="24"/>
          <w:szCs w:val="24"/>
          <w:highlight w:val="none"/>
          <w:lang w:bidi="zh-CN"/>
        </w:rPr>
        <w:t xml:space="preserve">、本合同一切未尽事宜</w:t>
      </w:r>
      <w:r>
        <w:rPr>
          <w:rStyle w:val="785"/>
          <w:rFonts w:hint="eastAsia" w:asciiTheme="minorEastAsia" w:hAnsiTheme="minorEastAsia" w:eastAsiaTheme="minorEastAsia" w:cstheme="minorEastAsia"/>
          <w:b w:val="0"/>
          <w:bCs w:val="0"/>
          <w:color w:val="auto"/>
          <w:sz w:val="24"/>
          <w:szCs w:val="24"/>
          <w:highlight w:val="none"/>
          <w:lang w:bidi="zh-CN"/>
        </w:rPr>
        <w:t xml:space="preserve">，按民法典有关规定执行，无相关规定的，由甲乙双方协商解决。</w:t>
      </w:r>
      <w:r/>
    </w:p>
    <w:p>
      <w:pPr>
        <w:pStyle w:val="1474"/>
        <w:contextualSpacing/>
        <w:ind w:firstLine="482"/>
        <w:spacing w:line="48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十</w:t>
      </w:r>
      <w:r>
        <w:rPr>
          <w:rFonts w:hint="eastAsia" w:asciiTheme="minorEastAsia" w:hAnsiTheme="minorEastAsia" w:eastAsiaTheme="minorEastAsia" w:cstheme="minorEastAsia"/>
          <w:b/>
          <w:bCs/>
          <w:color w:val="auto"/>
          <w:sz w:val="24"/>
          <w:szCs w:val="24"/>
          <w:highlight w:val="none"/>
          <w:lang w:val="en-US" w:eastAsia="zh-CN"/>
        </w:rPr>
        <w:t xml:space="preserve">五</w:t>
      </w:r>
      <w:r>
        <w:rPr>
          <w:rFonts w:hint="eastAsia" w:asciiTheme="minorEastAsia" w:hAnsiTheme="minorEastAsia" w:eastAsiaTheme="minorEastAsia" w:cstheme="minorEastAsia"/>
          <w:b/>
          <w:bCs/>
          <w:color w:val="auto"/>
          <w:sz w:val="24"/>
          <w:szCs w:val="24"/>
          <w:highlight w:val="none"/>
        </w:rPr>
        <w:t xml:space="preserve">、不可抗力</w:t>
      </w:r>
      <w:r/>
    </w:p>
    <w:p>
      <w:pPr>
        <w:pStyle w:val="1474"/>
        <w:contextualSpacing/>
        <w:ind w:firstLine="480"/>
        <w:spacing w:line="48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pStyle w:val="1474"/>
        <w:contextualSpacing/>
        <w:ind w:firstLine="482"/>
        <w:spacing w:line="48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十</w:t>
      </w:r>
      <w:r>
        <w:rPr>
          <w:rFonts w:hint="eastAsia" w:asciiTheme="minorEastAsia" w:hAnsiTheme="minorEastAsia" w:eastAsiaTheme="minorEastAsia" w:cstheme="minorEastAsia"/>
          <w:b/>
          <w:bCs/>
          <w:color w:val="auto"/>
          <w:sz w:val="24"/>
          <w:szCs w:val="24"/>
          <w:highlight w:val="none"/>
          <w:lang w:val="en-US" w:eastAsia="zh-CN"/>
        </w:rPr>
        <w:t xml:space="preserve">六</w:t>
      </w:r>
      <w:r>
        <w:rPr>
          <w:rFonts w:hint="eastAsia" w:asciiTheme="minorEastAsia" w:hAnsiTheme="minorEastAsia" w:eastAsiaTheme="minorEastAsia" w:cstheme="minorEastAsia"/>
          <w:b/>
          <w:bCs/>
          <w:color w:val="auto"/>
          <w:sz w:val="24"/>
          <w:szCs w:val="24"/>
          <w:highlight w:val="none"/>
        </w:rPr>
        <w:t xml:space="preserve">、税费</w:t>
      </w:r>
      <w:r/>
    </w:p>
    <w:p>
      <w:pPr>
        <w:pStyle w:val="1474"/>
        <w:contextualSpacing/>
        <w:ind w:firstLine="480"/>
        <w:spacing w:line="48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中国政府根据现行税法规定对甲方征收的与本合同有关的一切税费由甲方负担；规定对乙方征收的与本合同有关的一切税费由乙方负担。</w:t>
      </w:r>
      <w:r/>
    </w:p>
    <w:p>
      <w:pPr>
        <w:pStyle w:val="1474"/>
        <w:contextualSpacing/>
        <w:ind w:firstLine="482"/>
        <w:spacing w:line="48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十</w:t>
      </w:r>
      <w:r>
        <w:rPr>
          <w:rFonts w:hint="eastAsia" w:asciiTheme="minorEastAsia" w:hAnsiTheme="minorEastAsia" w:eastAsiaTheme="minorEastAsia" w:cstheme="minorEastAsia"/>
          <w:b/>
          <w:bCs/>
          <w:color w:val="auto"/>
          <w:sz w:val="24"/>
          <w:szCs w:val="24"/>
          <w:highlight w:val="none"/>
          <w:lang w:val="en-US" w:eastAsia="zh-CN"/>
        </w:rPr>
        <w:t xml:space="preserve">七</w:t>
      </w:r>
      <w:r>
        <w:rPr>
          <w:rFonts w:hint="eastAsia" w:asciiTheme="minorEastAsia" w:hAnsiTheme="minorEastAsia" w:eastAsiaTheme="minorEastAsia" w:cstheme="minorEastAsia"/>
          <w:b/>
          <w:bCs/>
          <w:color w:val="auto"/>
          <w:sz w:val="24"/>
          <w:szCs w:val="24"/>
          <w:highlight w:val="none"/>
        </w:rPr>
        <w:t xml:space="preserve">、合同争议</w:t>
      </w:r>
      <w:r/>
    </w:p>
    <w:p>
      <w:pPr>
        <w:pStyle w:val="1474"/>
        <w:contextualSpacing/>
        <w:ind w:firstLine="480"/>
        <w:spacing w:line="48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甲乙双方应通过友好协商，解决在执行本合同中所发生的或与本合同有关的一切争议。如果协商仍得不到解决，任何一方均可按《中华人民共和国民法典》向甲方所在地人民法院提起诉讼。   </w:t>
      </w:r>
      <w:r/>
    </w:p>
    <w:p>
      <w:pPr>
        <w:pStyle w:val="1474"/>
        <w:contextualSpacing/>
        <w:ind w:firstLine="482"/>
        <w:spacing w:line="48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十</w:t>
      </w:r>
      <w:r>
        <w:rPr>
          <w:rFonts w:hint="eastAsia" w:asciiTheme="minorEastAsia" w:hAnsiTheme="minorEastAsia" w:eastAsiaTheme="minorEastAsia" w:cstheme="minorEastAsia"/>
          <w:b/>
          <w:bCs/>
          <w:color w:val="auto"/>
          <w:sz w:val="24"/>
          <w:szCs w:val="24"/>
          <w:highlight w:val="none"/>
          <w:lang w:val="en-US" w:eastAsia="zh-CN"/>
        </w:rPr>
        <w:t xml:space="preserve">八</w:t>
      </w:r>
      <w:r>
        <w:rPr>
          <w:rFonts w:hint="eastAsia" w:asciiTheme="minorEastAsia" w:hAnsiTheme="minorEastAsia" w:eastAsiaTheme="minorEastAsia" w:cstheme="minorEastAsia"/>
          <w:b/>
          <w:bCs/>
          <w:color w:val="auto"/>
          <w:sz w:val="24"/>
          <w:szCs w:val="24"/>
          <w:highlight w:val="none"/>
        </w:rPr>
        <w:t xml:space="preserve">、适用法律</w:t>
      </w:r>
      <w:r/>
    </w:p>
    <w:p>
      <w:pPr>
        <w:pStyle w:val="1474"/>
        <w:contextualSpacing/>
        <w:ind w:firstLine="480"/>
        <w:spacing w:line="480" w:lineRule="exact"/>
        <w:rPr>
          <w:rFonts w:hint="eastAsia" w:ascii="宋体" w:hAnsi="宋体" w:eastAsia="宋体" w:cs="宋体"/>
          <w:b/>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本合同应按照中华人民共和国的现行法律进行解释。</w:t>
      </w:r>
      <w:r/>
    </w:p>
    <w:p>
      <w:pPr>
        <w:pStyle w:val="1413"/>
        <w:ind w:firstLine="720"/>
        <w:spacing w:after="200" w:line="460" w:lineRule="exact"/>
        <w:shd w:val="clear" w:color="auto" w:fill="ffffff" w:themeFill="background1"/>
        <w:rPr>
          <w:rStyle w:val="785"/>
          <w:rFonts w:hint="eastAsia" w:ascii="宋体" w:hAnsi="宋体" w:eastAsia="宋体" w:cs="宋体"/>
          <w:b w:val="0"/>
          <w:color w:val="auto"/>
          <w:sz w:val="24"/>
          <w:szCs w:val="22"/>
          <w:highlight w:val="none"/>
          <w:rtl w:val="0"/>
          <w:lang w:val="en-US" w:eastAsia="zh-CN" w:bidi="ar-SA"/>
        </w:rPr>
      </w:pPr>
      <w:r>
        <w:rPr>
          <w:rStyle w:val="785"/>
          <w:rFonts w:hint="eastAsia" w:ascii="宋体" w:hAnsi="宋体" w:eastAsia="宋体" w:cs="宋体"/>
          <w:b w:val="0"/>
          <w:color w:val="auto"/>
          <w:sz w:val="24"/>
          <w:szCs w:val="22"/>
          <w:highlight w:val="none"/>
          <w:rtl w:val="0"/>
          <w:lang w:val="en-US" w:eastAsia="zh-CN" w:bidi="ar-SA"/>
        </w:rPr>
        <w:t xml:space="preserve">甲方：（盖章）                      乙方：（盖章）       </w:t>
      </w:r>
      <w:r/>
    </w:p>
    <w:p>
      <w:pPr>
        <w:pStyle w:val="1413"/>
        <w:ind w:firstLine="720"/>
        <w:spacing w:before="19" w:after="200" w:line="460" w:lineRule="exact"/>
        <w:shd w:val="clear" w:color="auto" w:fill="ffffff" w:themeFill="background1"/>
        <w:rPr>
          <w:rStyle w:val="785"/>
          <w:rFonts w:hint="eastAsia" w:ascii="宋体" w:hAnsi="宋体" w:eastAsia="宋体" w:cs="宋体"/>
          <w:b w:val="0"/>
          <w:color w:val="auto"/>
          <w:sz w:val="24"/>
          <w:szCs w:val="22"/>
          <w:highlight w:val="none"/>
          <w:rtl w:val="0"/>
          <w:lang w:val="en-US" w:eastAsia="zh-CN" w:bidi="ar-SA"/>
        </w:rPr>
      </w:pPr>
      <w:r>
        <w:rPr>
          <w:rStyle w:val="785"/>
          <w:rFonts w:hint="eastAsia" w:ascii="宋体" w:hAnsi="宋体" w:eastAsia="宋体" w:cs="宋体"/>
          <w:b w:val="0"/>
          <w:color w:val="auto"/>
          <w:sz w:val="24"/>
          <w:szCs w:val="22"/>
          <w:highlight w:val="none"/>
          <w:rtl w:val="0"/>
          <w:lang w:val="en-US" w:eastAsia="zh-CN" w:bidi="ar-SA"/>
        </w:rPr>
        <w:t xml:space="preserve">地址：                             地址：</w:t>
      </w:r>
      <w:r/>
    </w:p>
    <w:p>
      <w:pPr>
        <w:pStyle w:val="1413"/>
        <w:ind w:firstLine="720"/>
        <w:spacing w:before="19" w:after="200" w:line="460" w:lineRule="exact"/>
        <w:shd w:val="clear" w:color="auto" w:fill="ffffff" w:themeFill="background1"/>
        <w:rPr>
          <w:rStyle w:val="785"/>
          <w:rFonts w:hint="eastAsia" w:ascii="宋体" w:hAnsi="宋体" w:eastAsia="宋体" w:cs="宋体"/>
          <w:b w:val="0"/>
          <w:color w:val="auto"/>
          <w:sz w:val="24"/>
          <w:szCs w:val="22"/>
          <w:highlight w:val="none"/>
          <w:rtl w:val="0"/>
          <w:lang w:val="en-US" w:eastAsia="zh-CN" w:bidi="ar-SA"/>
        </w:rPr>
      </w:pPr>
      <w:r>
        <w:rPr>
          <w:rStyle w:val="785"/>
          <w:rFonts w:hint="eastAsia" w:ascii="宋体" w:hAnsi="宋体" w:eastAsia="宋体" w:cs="宋体"/>
          <w:b w:val="0"/>
          <w:color w:val="auto"/>
          <w:sz w:val="24"/>
          <w:szCs w:val="22"/>
          <w:highlight w:val="none"/>
          <w:rtl w:val="0"/>
          <w:lang w:val="en-US" w:eastAsia="zh-CN" w:bidi="ar-SA"/>
        </w:rPr>
        <w:t xml:space="preserve">法定（授权）代表人：               法定（授权）代表人：</w:t>
      </w:r>
      <w:r/>
    </w:p>
    <w:p>
      <w:pPr>
        <w:pStyle w:val="1413"/>
        <w:ind w:firstLine="720"/>
        <w:spacing w:before="19" w:after="200" w:line="460" w:lineRule="exact"/>
        <w:shd w:val="clear" w:color="auto" w:fill="ffffff" w:themeFill="background1"/>
        <w:rPr>
          <w:rStyle w:val="785"/>
          <w:rFonts w:hint="eastAsia" w:ascii="宋体" w:hAnsi="宋体" w:eastAsia="宋体" w:cs="宋体"/>
          <w:b w:val="0"/>
          <w:color w:val="auto"/>
          <w:sz w:val="24"/>
          <w:szCs w:val="22"/>
          <w:highlight w:val="none"/>
          <w:rtl w:val="0"/>
          <w:lang w:val="en-US" w:eastAsia="zh-CN" w:bidi="ar-SA"/>
        </w:rPr>
      </w:pPr>
      <w:r>
        <w:rPr>
          <w:rStyle w:val="785"/>
          <w:rFonts w:hint="eastAsia" w:ascii="宋体" w:hAnsi="宋体" w:eastAsia="宋体" w:cs="宋体"/>
          <w:b w:val="0"/>
          <w:color w:val="auto"/>
          <w:sz w:val="24"/>
          <w:szCs w:val="22"/>
          <w:highlight w:val="none"/>
          <w:rtl w:val="0"/>
          <w:lang w:val="en-US" w:eastAsia="zh-CN" w:bidi="ar-SA"/>
        </w:rPr>
        <w:t xml:space="preserve">联系人：                           联系人：</w:t>
      </w:r>
      <w:r/>
    </w:p>
    <w:p>
      <w:pPr>
        <w:pStyle w:val="1413"/>
        <w:ind w:firstLine="720"/>
        <w:spacing w:before="19" w:after="200" w:line="460" w:lineRule="exact"/>
        <w:shd w:val="clear" w:color="auto" w:fill="ffffff" w:themeFill="background1"/>
        <w:rPr>
          <w:rStyle w:val="785"/>
          <w:rFonts w:hint="eastAsia" w:ascii="宋体" w:hAnsi="宋体" w:eastAsia="宋体" w:cs="宋体"/>
          <w:b w:val="0"/>
          <w:color w:val="auto"/>
          <w:sz w:val="24"/>
          <w:szCs w:val="22"/>
          <w:highlight w:val="none"/>
          <w:rtl w:val="0"/>
          <w:lang w:val="en-US" w:eastAsia="zh-CN" w:bidi="ar-SA"/>
        </w:rPr>
      </w:pPr>
      <w:r>
        <w:rPr>
          <w:rStyle w:val="785"/>
          <w:rFonts w:hint="eastAsia" w:ascii="宋体" w:hAnsi="宋体" w:eastAsia="宋体" w:cs="宋体"/>
          <w:b w:val="0"/>
          <w:color w:val="auto"/>
          <w:sz w:val="24"/>
          <w:szCs w:val="22"/>
          <w:highlight w:val="none"/>
          <w:rtl w:val="0"/>
          <w:lang w:val="en-US" w:eastAsia="zh-CN" w:bidi="ar-SA"/>
        </w:rPr>
        <w:t xml:space="preserve">联系电话：                         联系电话：</w:t>
      </w:r>
      <w:r/>
    </w:p>
    <w:p>
      <w:pPr>
        <w:ind w:firstLine="720"/>
        <w:shd w:val="clear" w:color="auto" w:fill="ffffff" w:themeFill="background1"/>
        <w:rPr>
          <w:rStyle w:val="785"/>
          <w:rFonts w:hint="eastAsia" w:ascii="宋体" w:hAnsi="宋体" w:eastAsia="宋体" w:cs="宋体"/>
          <w:b w:val="0"/>
          <w:color w:val="auto"/>
          <w:sz w:val="24"/>
          <w:szCs w:val="22"/>
          <w:highlight w:val="none"/>
          <w:rtl w:val="0"/>
          <w:lang w:val="en-US" w:eastAsia="zh-CN" w:bidi="ar-SA"/>
        </w:rPr>
      </w:pPr>
      <w:r>
        <w:rPr>
          <w:rStyle w:val="785"/>
          <w:rFonts w:hint="eastAsia" w:ascii="宋体" w:hAnsi="宋体" w:eastAsia="宋体" w:cs="宋体"/>
          <w:b w:val="0"/>
          <w:color w:val="auto"/>
          <w:sz w:val="24"/>
          <w:szCs w:val="22"/>
          <w:highlight w:val="none"/>
          <w:rtl w:val="0"/>
          <w:lang w:val="en-US" w:eastAsia="zh-CN" w:bidi="ar-SA"/>
        </w:rPr>
        <w:t xml:space="preserve">202</w:t>
      </w:r>
      <w:r>
        <w:rPr>
          <w:rStyle w:val="785"/>
          <w:rFonts w:hint="eastAsia" w:ascii="宋体" w:hAnsi="宋体" w:cs="宋体"/>
          <w:b w:val="0"/>
          <w:color w:val="auto"/>
          <w:sz w:val="24"/>
          <w:szCs w:val="22"/>
          <w:highlight w:val="none"/>
          <w:rtl w:val="0"/>
          <w:lang w:val="en-US" w:eastAsia="zh-CN" w:bidi="ar-SA"/>
        </w:rPr>
        <w:t xml:space="preserve">6</w:t>
      </w:r>
      <w:r>
        <w:rPr>
          <w:rStyle w:val="785"/>
          <w:rFonts w:hint="eastAsia" w:ascii="宋体" w:hAnsi="宋体" w:eastAsia="宋体" w:cs="宋体"/>
          <w:b w:val="0"/>
          <w:color w:val="auto"/>
          <w:sz w:val="24"/>
          <w:szCs w:val="22"/>
          <w:highlight w:val="none"/>
          <w:rtl w:val="0"/>
          <w:lang w:val="en-US" w:eastAsia="zh-CN" w:bidi="ar-SA"/>
        </w:rPr>
        <w:t xml:space="preserve">年  月  日                     202</w:t>
      </w:r>
      <w:r>
        <w:rPr>
          <w:rStyle w:val="785"/>
          <w:rFonts w:hint="eastAsia" w:ascii="宋体" w:hAnsi="宋体" w:cs="宋体"/>
          <w:b w:val="0"/>
          <w:color w:val="auto"/>
          <w:sz w:val="24"/>
          <w:szCs w:val="22"/>
          <w:highlight w:val="none"/>
          <w:rtl w:val="0"/>
          <w:lang w:val="en-US" w:eastAsia="zh-CN" w:bidi="ar-SA"/>
        </w:rPr>
        <w:t xml:space="preserve">6</w:t>
      </w:r>
      <w:r>
        <w:rPr>
          <w:rStyle w:val="785"/>
          <w:rFonts w:hint="eastAsia" w:ascii="宋体" w:hAnsi="宋体" w:eastAsia="宋体" w:cs="宋体"/>
          <w:b w:val="0"/>
          <w:color w:val="auto"/>
          <w:sz w:val="24"/>
          <w:szCs w:val="22"/>
          <w:highlight w:val="none"/>
          <w:rtl w:val="0"/>
          <w:lang w:val="en-US" w:eastAsia="zh-CN" w:bidi="ar-SA"/>
        </w:rPr>
        <w:t xml:space="preserve">年  月   日 </w:t>
      </w:r>
      <w:r/>
    </w:p>
    <w:p>
      <w:pPr>
        <w:pStyle w:val="1474"/>
        <w:ind w:firstLine="480"/>
        <w:jc w:val="both"/>
        <w:spacing w:line="480" w:lineRule="exact"/>
        <w:widowControl/>
        <w:rPr>
          <w:rFonts w:hint="eastAsia" w:ascii="宋体" w:hAnsi="宋体" w:eastAsia="宋体" w:cs="宋体"/>
          <w:b/>
          <w:color w:val="auto"/>
          <w:sz w:val="24"/>
          <w:szCs w:val="24"/>
          <w:highlight w:val="none"/>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 w:val="24"/>
          <w:szCs w:val="24"/>
          <w:highlight w:val="none"/>
        </w:rPr>
      </w:r>
      <w:r/>
    </w:p>
    <w:p>
      <w:pPr>
        <w:pStyle w:val="1543"/>
        <w:spacing w:line="480" w:lineRule="exact"/>
        <w:shd w:val="clear" w:color="auto" w:fill="ffffff" w:themeFill="background1"/>
        <w:rPr>
          <w:rStyle w:val="785"/>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r>
      <w:r/>
    </w:p>
    <w:p>
      <w:pPr>
        <w:pStyle w:val="853"/>
        <w:ind w:left="0" w:firstLine="0"/>
        <w:shd w:val="clear" w:color="auto" w:fill="ffffff" w:themeFill="background1"/>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500" w:lineRule="exact"/>
        <w:shd w:val="clear" w:color="auto" w:fill="ffffff" w:themeFill="background1"/>
        <w:rPr>
          <w:rFonts w:hint="eastAsia" w:ascii="宋体" w:hAnsi="宋体" w:eastAsia="宋体" w:cs="宋体"/>
          <w:b/>
          <w:color w:val="auto"/>
          <w:sz w:val="44"/>
          <w:szCs w:val="44"/>
          <w:highlight w:val="none"/>
          <w:lang w:eastAsia="zh-CN"/>
        </w:rPr>
        <w:outlineLvl w:val="0"/>
      </w:pPr>
      <w:r>
        <w:rPr>
          <w:rFonts w:hint="eastAsia" w:ascii="宋体" w:hAnsi="宋体" w:eastAsia="宋体" w:cs="宋体"/>
          <w:b/>
          <w:color w:val="auto"/>
          <w:sz w:val="44"/>
          <w:szCs w:val="44"/>
          <w:highlight w:val="none"/>
          <w:lang w:eastAsia="zh-CN"/>
        </w:rPr>
      </w:r>
      <w:r/>
    </w:p>
    <w:p>
      <w:pPr>
        <w:jc w:val="center"/>
        <w:spacing w:line="500" w:lineRule="exact"/>
        <w:shd w:val="clear" w:color="auto" w:fill="ffffff" w:themeFill="background1"/>
        <w:rPr>
          <w:rFonts w:hint="eastAsia" w:ascii="宋体" w:hAnsi="宋体" w:eastAsia="宋体" w:cs="宋体"/>
          <w:b/>
          <w:color w:val="auto"/>
          <w:sz w:val="44"/>
          <w:szCs w:val="44"/>
          <w:highlight w:val="none"/>
        </w:rPr>
        <w:outlineLvl w:val="0"/>
      </w:pPr>
      <w:r/>
      <w:bookmarkStart w:id="123" w:name="_Toc2622"/>
      <w:r>
        <w:rPr>
          <w:rFonts w:hint="eastAsia" w:ascii="宋体" w:hAnsi="宋体" w:eastAsia="宋体" w:cs="宋体"/>
          <w:b/>
          <w:color w:val="auto"/>
          <w:sz w:val="44"/>
          <w:szCs w:val="44"/>
          <w:highlight w:val="none"/>
        </w:rPr>
        <w:t xml:space="preserve">第六章  响应文件格式</w:t>
      </w:r>
      <w:bookmarkEnd w:id="120"/>
      <w:r/>
      <w:bookmarkEnd w:id="121"/>
      <w:r/>
      <w:bookmarkEnd w:id="122"/>
      <w:r/>
      <w:bookmarkEnd w:id="123"/>
      <w:r/>
      <w:bookmarkStart w:id="124" w:name="_Hlt26955039"/>
      <w:r/>
      <w:bookmarkEnd w:id="124"/>
      <w:r/>
      <w:bookmarkStart w:id="125" w:name="_Hlt26671244"/>
      <w:r/>
      <w:bookmarkEnd w:id="125"/>
      <w:r/>
      <w:r/>
    </w:p>
    <w:p>
      <w:pPr>
        <w:jc w:val="center"/>
        <w:shd w:val="clear" w:color="auto" w:fill="ffffff" w:themeFill="background1"/>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shd w:val="clear" w:color="auto" w:fill="ffffff" w:themeFill="background1"/>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shd w:val="clear" w:color="auto" w:fill="ffffff" w:themeFill="background1"/>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  应  文  件</w:t>
      </w:r>
      <w:r/>
    </w:p>
    <w:p>
      <w:pPr>
        <w:jc w:val="center"/>
        <w:shd w:val="clear" w:color="auto" w:fill="ffffff" w:themeFill="background1"/>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shd w:val="clear" w:color="auto" w:fill="ffffff" w:themeFill="background1"/>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shd w:val="clear" w:color="auto" w:fill="ffffff" w:themeFill="background1"/>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shd w:val="clear" w:color="auto" w:fill="ffffff" w:themeFill="background1"/>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hd w:val="clear" w:color="auto" w:fill="ffffff" w:themeFill="background1"/>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hd w:val="clear" w:color="auto" w:fill="ffffff" w:themeFill="background1"/>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shd w:val="clear" w:color="auto" w:fill="ffffff" w:themeFill="background1"/>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p>
    <w:p>
      <w:pPr>
        <w:ind w:firstLine="1084"/>
        <w:shd w:val="clear" w:color="auto" w:fill="ffffff" w:themeFill="background1"/>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p>
    <w:p>
      <w:pPr>
        <w:shd w:val="clear" w:color="auto" w:fill="ffffff" w:themeFill="background1"/>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供应商名称 ：</w:t>
      </w:r>
      <w:r>
        <w:rPr>
          <w:rFonts w:hint="eastAsia" w:ascii="宋体" w:hAnsi="宋体" w:eastAsia="宋体" w:cs="宋体"/>
          <w:b/>
          <w:color w:val="auto"/>
          <w:sz w:val="36"/>
          <w:highlight w:val="none"/>
          <w:u w:val="single"/>
        </w:rPr>
        <w:t xml:space="preserve">（盖CA电子公章）</w:t>
      </w:r>
      <w:r/>
    </w:p>
    <w:p>
      <w:pPr>
        <w:shd w:val="clear" w:color="auto" w:fill="ffffff" w:themeFill="background1"/>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p>
    <w:p>
      <w:pPr>
        <w:shd w:val="clear" w:color="auto" w:fill="ffffff" w:themeFill="background1"/>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480"/>
        <w:spacing w:before="0" w:after="0" w:line="400" w:lineRule="atLeast"/>
        <w:shd w:val="clear" w:color="auto" w:fill="ffffff" w:themeFill="background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jc w:val="both"/>
        <w:spacing w:line="440" w:lineRule="exact"/>
        <w:shd w:val="clear" w:color="auto" w:fill="ffffff" w:themeFill="background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shd w:val="clear" w:color="auto" w:fill="ffffff" w:themeFill="background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响应文件目录</w:t>
      </w:r>
      <w:r/>
    </w:p>
    <w:p>
      <w:pPr>
        <w:jc w:val="center"/>
        <w:spacing w:line="440" w:lineRule="exact"/>
        <w:shd w:val="clear" w:color="auto" w:fill="ffffff" w:themeFill="background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一、</w:t>
      </w:r>
      <w:r>
        <w:rPr>
          <w:rFonts w:hint="eastAsia" w:ascii="宋体" w:hAnsi="宋体" w:eastAsia="宋体" w:cs="宋体"/>
          <w:color w:val="auto"/>
          <w:sz w:val="24"/>
          <w:szCs w:val="21"/>
          <w:highlight w:val="none"/>
        </w:rPr>
        <w:t xml:space="preserve">磋商申请及声明</w:t>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二、</w:t>
      </w:r>
      <w:r>
        <w:rPr>
          <w:rFonts w:hint="eastAsia" w:ascii="宋体" w:hAnsi="宋体" w:eastAsia="宋体" w:cs="宋体"/>
          <w:color w:val="auto"/>
          <w:sz w:val="24"/>
          <w:szCs w:val="21"/>
          <w:highlight w:val="none"/>
        </w:rPr>
        <w:t xml:space="preserve">供应商基本信息</w:t>
      </w:r>
      <w:r/>
    </w:p>
    <w:p>
      <w:pPr>
        <w:ind w:firstLine="480"/>
        <w:spacing w:line="440" w:lineRule="exact"/>
        <w:shd w:val="clear" w:color="auto" w:fill="ffffff" w:themeFill="background1"/>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三、法人授权书</w:t>
      </w:r>
      <w:r/>
    </w:p>
    <w:p>
      <w:pPr>
        <w:ind w:firstLine="480"/>
        <w:spacing w:line="440" w:lineRule="exact"/>
        <w:shd w:val="clear" w:color="auto" w:fill="ffffff" w:themeFill="background1"/>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四、中小（微）企业声明函（服务）</w:t>
      </w:r>
      <w:r/>
    </w:p>
    <w:p>
      <w:pPr>
        <w:ind w:firstLine="480"/>
        <w:spacing w:line="440" w:lineRule="exact"/>
        <w:shd w:val="clear" w:color="auto" w:fill="ffffff" w:themeFill="background1"/>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五、磋商报价表</w:t>
      </w:r>
      <w:r/>
    </w:p>
    <w:p>
      <w:pPr>
        <w:ind w:firstLine="480"/>
        <w:spacing w:line="440" w:lineRule="exact"/>
        <w:shd w:val="clear" w:color="auto" w:fill="ffffff" w:themeFill="background1"/>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六、明细报价表</w:t>
      </w:r>
      <w:r/>
    </w:p>
    <w:p>
      <w:pPr>
        <w:ind w:firstLine="480"/>
        <w:spacing w:line="440" w:lineRule="exact"/>
        <w:shd w:val="clear" w:color="auto" w:fill="ffffff" w:themeFill="background1"/>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七、技术响应偏离表</w:t>
      </w:r>
      <w:r/>
    </w:p>
    <w:p>
      <w:pPr>
        <w:ind w:firstLine="480"/>
        <w:spacing w:line="440" w:lineRule="exact"/>
        <w:shd w:val="clear" w:color="auto" w:fill="ffffff" w:themeFill="background1"/>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八、项目经理</w:t>
      </w:r>
      <w:r/>
    </w:p>
    <w:p>
      <w:pPr>
        <w:ind w:firstLine="480"/>
        <w:spacing w:line="440" w:lineRule="exact"/>
        <w:shd w:val="clear" w:color="auto" w:fill="ffffff" w:themeFill="background1"/>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九、项目组人员</w:t>
      </w:r>
      <w:r/>
    </w:p>
    <w:p>
      <w:pPr>
        <w:ind w:firstLine="480"/>
        <w:spacing w:line="440" w:lineRule="exact"/>
        <w:shd w:val="clear" w:color="auto" w:fill="ffffff" w:themeFill="background1"/>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十、企业业绩</w:t>
      </w:r>
      <w:r/>
    </w:p>
    <w:p>
      <w:pPr>
        <w:ind w:firstLine="480"/>
        <w:spacing w:line="440" w:lineRule="exact"/>
        <w:shd w:val="clear" w:color="auto" w:fill="ffffff" w:themeFill="background1"/>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十一、磋商所需其他材料</w:t>
      </w:r>
      <w:r/>
    </w:p>
    <w:p>
      <w:pPr>
        <w:ind w:firstLine="480"/>
        <w:spacing w:line="440" w:lineRule="exact"/>
        <w:shd w:val="clear" w:color="auto" w:fill="ffffff" w:themeFill="background1"/>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shd w:val="clear" w:color="auto" w:fill="ffffff" w:themeFill="background1"/>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hd w:val="clear" w:color="auto" w:fill="ffffff" w:themeFill="background1"/>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t xml:space="preserve">一、磋商申请及声明</w:t>
      </w:r>
      <w:r/>
    </w:p>
    <w:p>
      <w:pPr>
        <w:pStyle w:val="1416"/>
        <w:jc w:val="center"/>
        <w:shd w:val="clear" w:color="auto" w:fill="ffffff" w:themeFill="background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磋商声明及承诺函</w:t>
      </w:r>
      <w:r/>
    </w:p>
    <w:p>
      <w:pPr>
        <w:pStyle w:val="1416"/>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（采购单位名称）</w:t>
      </w:r>
      <w:r>
        <w:rPr>
          <w:rFonts w:hint="eastAsia" w:ascii="宋体" w:hAnsi="宋体" w:eastAsia="宋体" w:cs="宋体"/>
          <w:color w:val="auto"/>
          <w:sz w:val="24"/>
          <w:szCs w:val="24"/>
          <w:highlight w:val="none"/>
        </w:rPr>
        <w:t xml:space="preserve">：</w:t>
      </w:r>
      <w:r/>
    </w:p>
    <w:p>
      <w:pPr>
        <w:pStyle w:val="1416"/>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竞争性磋商文件，我方在参加本项目竞争性磋商活动中，特做出如下承诺：</w:t>
      </w:r>
      <w:r/>
    </w:p>
    <w:p>
      <w:pPr>
        <w:pStyle w:val="1416"/>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一、我方具备《中华人民共和国政府采购法》第二十二条第一款规定的6项条件；</w:t>
      </w:r>
      <w:r/>
    </w:p>
    <w:p>
      <w:pPr>
        <w:pStyle w:val="1416"/>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416"/>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三、我方按磋商文件要求提交响应文件，响应磋商文件规定的响应有效期；</w:t>
      </w:r>
      <w:r/>
    </w:p>
    <w:p>
      <w:pPr>
        <w:pStyle w:val="1416"/>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四、如果我方的响应文件被接受，我方将按《中华人民共和国民法典（第三编合同）》及其他有关法律、法规的规定，按期、按质、按量交付采购单位，全面做到履约守信；</w:t>
      </w:r>
      <w:r/>
    </w:p>
    <w:p>
      <w:pPr>
        <w:pStyle w:val="1416"/>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1416"/>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六、我方同意采购人、采购代理机构将本声明及承诺进行公开。</w:t>
      </w:r>
      <w:r/>
    </w:p>
    <w:p>
      <w:pPr>
        <w:pStyle w:val="1416"/>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16"/>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16"/>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 （盖CA电子公章）</w:t>
      </w:r>
      <w:r/>
    </w:p>
    <w:p>
      <w:pPr>
        <w:pStyle w:val="1416"/>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44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4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ffffff" w:themeFill="background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spacing w:line="44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19"/>
        <w:shd w:val="clear" w:color="auto" w:fill="ffffff" w:themeFill="background1"/>
        <w:rPr>
          <w:rFonts w:hint="eastAsia" w:ascii="宋体" w:hAnsi="宋体" w:eastAsia="宋体" w:cs="宋体"/>
          <w:color w:val="auto"/>
          <w:highlight w:val="none"/>
        </w:rPr>
        <w:outlineLvl w:val="1"/>
      </w:pPr>
      <w:r/>
      <w:bookmarkStart w:id="126" w:name="_Toc120614284"/>
      <w:r>
        <w:rPr>
          <w:rFonts w:hint="eastAsia" w:ascii="宋体" w:hAnsi="宋体" w:eastAsia="宋体" w:cs="宋体"/>
          <w:iCs/>
          <w:color w:val="auto"/>
          <w:szCs w:val="32"/>
          <w:highlight w:val="none"/>
        </w:rPr>
        <w:t xml:space="preserve">二</w:t>
      </w:r>
      <w:r>
        <w:rPr>
          <w:rFonts w:hint="eastAsia" w:ascii="宋体" w:hAnsi="宋体" w:eastAsia="宋体" w:cs="宋体"/>
          <w:color w:val="auto"/>
          <w:highlight w:val="none"/>
        </w:rPr>
        <w:t xml:space="preserve">、供应商基本信息</w:t>
      </w:r>
      <w:r/>
    </w:p>
    <w:p>
      <w:pPr>
        <w:pStyle w:val="1420"/>
        <w:jc w:val="center"/>
        <w:shd w:val="clear" w:color="auto" w:fill="ffffff" w:themeFill="background1"/>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供应商基本情况表</w:t>
      </w:r>
      <w:r/>
    </w:p>
    <w:tbl>
      <w:tblPr>
        <w:tblStyle w:val="786"/>
        <w:tblW w:w="85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420"/>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p>
        </w:tc>
        <w:tc>
          <w:tcPr>
            <w:gridSpan w:val="3"/>
            <w:tcW w:w="6998" w:type="dxa"/>
            <w:vAlign w:val="center"/>
            <w:textDirection w:val="lrTb"/>
            <w:noWrap w:val="false"/>
          </w:tcPr>
          <w:p>
            <w:pPr>
              <w:pStyle w:val="1420"/>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420"/>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1420"/>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420"/>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1420"/>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420"/>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1420"/>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420"/>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1420"/>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420"/>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1420"/>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420"/>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1420"/>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420"/>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1420"/>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420"/>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1420"/>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420"/>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供应商类别</w:t>
            </w:r>
            <w:r/>
          </w:p>
        </w:tc>
        <w:tc>
          <w:tcPr>
            <w:gridSpan w:val="3"/>
            <w:tcW w:w="6998" w:type="dxa"/>
            <w:vAlign w:val="center"/>
            <w:textDirection w:val="lrTb"/>
            <w:noWrap w:val="false"/>
          </w:tcPr>
          <w:p>
            <w:pPr>
              <w:pStyle w:val="1420"/>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420"/>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1420"/>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420"/>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1420"/>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420"/>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1420"/>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420"/>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1420"/>
              <w:jc w:val="center"/>
              <w:spacing w:line="6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76"/>
        </w:trPr>
        <w:tc>
          <w:tcPr>
            <w:tcW w:w="1526" w:type="dxa"/>
            <w:vAlign w:val="center"/>
            <w:textDirection w:val="lrTb"/>
            <w:noWrap w:val="false"/>
          </w:tcPr>
          <w:p>
            <w:pPr>
              <w:pStyle w:val="1420"/>
              <w:jc w:val="center"/>
              <w:spacing w:line="56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vAlign w:val="top"/>
            <w:textDirection w:val="lrTb"/>
            <w:noWrap w:val="false"/>
          </w:tcPr>
          <w:p>
            <w:pPr>
              <w:pStyle w:val="1420"/>
              <w:ind w:firstLine="1433"/>
              <w:spacing w:line="56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34"/>
        </w:trPr>
        <w:tc>
          <w:tcPr>
            <w:tcW w:w="1526" w:type="dxa"/>
            <w:vAlign w:val="center"/>
            <w:textDirection w:val="lrTb"/>
            <w:noWrap w:val="false"/>
          </w:tcPr>
          <w:p>
            <w:pPr>
              <w:pStyle w:val="1420"/>
              <w:jc w:val="center"/>
              <w:spacing w:line="56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1420"/>
              <w:jc w:val="center"/>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hd w:val="clear" w:color="auto" w:fill="ffffff" w:themeFill="background1"/>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r>
      <w:r/>
    </w:p>
    <w:p>
      <w:pPr>
        <w:shd w:val="clear" w:color="auto" w:fill="ffffff" w:themeFill="background1"/>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r>
      <w:r/>
    </w:p>
    <w:p>
      <w:pPr>
        <w:shd w:val="clear" w:color="auto" w:fill="ffffff" w:themeFill="background1"/>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r>
      <w:r/>
    </w:p>
    <w:p>
      <w:pPr>
        <w:shd w:val="clear" w:color="auto" w:fill="ffffff" w:themeFill="background1"/>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r>
      <w:r/>
    </w:p>
    <w:p>
      <w:pPr>
        <w:shd w:val="clear" w:color="auto" w:fill="ffffff" w:themeFill="background1"/>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r>
      <w:r/>
    </w:p>
    <w:p>
      <w:pPr>
        <w:shd w:val="clear" w:color="auto" w:fill="ffffff" w:themeFill="background1"/>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r>
      <w:r/>
    </w:p>
    <w:p>
      <w:pPr>
        <w:shd w:val="clear" w:color="auto" w:fill="ffffff" w:themeFill="background1"/>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r>
      <w:r/>
    </w:p>
    <w:p>
      <w:pPr>
        <w:shd w:val="clear" w:color="auto" w:fill="ffffff" w:themeFill="background1"/>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r>
      <w:r/>
    </w:p>
    <w:p>
      <w:pPr>
        <w:pStyle w:val="777"/>
        <w:spacing w:before="0" w:after="0" w:line="520" w:lineRule="exact"/>
        <w:shd w:val="clear" w:color="auto" w:fill="ffffff" w:themeFill="background1"/>
        <w:rPr>
          <w:rFonts w:hint="eastAsia" w:ascii="宋体" w:hAnsi="宋体" w:eastAsia="宋体" w:cs="宋体"/>
          <w:b/>
          <w:bCs/>
          <w:color w:val="auto"/>
          <w:sz w:val="32"/>
          <w:highlight w:val="none"/>
        </w:rPr>
      </w:pPr>
      <w:r>
        <w:rPr>
          <w:rFonts w:hint="eastAsia" w:ascii="宋体" w:hAnsi="宋体" w:eastAsia="宋体" w:cs="宋体"/>
          <w:iCs/>
          <w:color w:val="auto"/>
          <w:sz w:val="32"/>
          <w:szCs w:val="32"/>
          <w:highlight w:val="none"/>
        </w:rPr>
        <w:t xml:space="preserve">三、</w:t>
      </w:r>
      <w:r>
        <w:rPr>
          <w:rFonts w:hint="eastAsia" w:ascii="宋体" w:hAnsi="宋体" w:eastAsia="宋体" w:cs="宋体"/>
          <w:b/>
          <w:bCs/>
          <w:color w:val="auto"/>
          <w:sz w:val="32"/>
          <w:highlight w:val="none"/>
        </w:rPr>
        <w:t xml:space="preserve">法人授权书</w:t>
      </w:r>
      <w:r/>
    </w:p>
    <w:p>
      <w:pPr>
        <w:pStyle w:val="1421"/>
        <w:jc w:val="center"/>
        <w:shd w:val="clear" w:color="auto" w:fill="ffffff" w:themeFill="background1"/>
        <w:widowControl w:val="off"/>
        <w:rPr>
          <w:rFonts w:hint="eastAsia" w:ascii="宋体" w:hAnsi="宋体" w:eastAsia="宋体" w:cs="宋体"/>
          <w:b w:val="0"/>
          <w:bCs/>
          <w:color w:val="auto"/>
          <w:szCs w:val="32"/>
          <w:highlight w:val="none"/>
        </w:rPr>
      </w:pPr>
      <w:r>
        <w:rPr>
          <w:rFonts w:hint="eastAsia" w:ascii="宋体" w:hAnsi="宋体" w:eastAsia="宋体" w:cs="宋体"/>
          <w:b w:val="0"/>
          <w:bCs/>
          <w:color w:val="auto"/>
          <w:szCs w:val="32"/>
          <w:highlight w:val="none"/>
        </w:rPr>
        <w:t xml:space="preserve">法人授权书</w:t>
      </w:r>
      <w:r/>
    </w:p>
    <w:p>
      <w:pPr>
        <w:pStyle w:val="1416"/>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16"/>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本授权书声明：____________（供应商名称）授权________________（被授权人的姓名）为我方就</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 xml:space="preserve">采购活动的合法代理人，以本单位名义全权处理一切与该项目采购有关的事务。</w:t>
      </w:r>
      <w:r/>
    </w:p>
    <w:p>
      <w:pPr>
        <w:pStyle w:val="1416"/>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1416"/>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16"/>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w:t>
      </w:r>
      <w:r/>
    </w:p>
    <w:p>
      <w:pPr>
        <w:pStyle w:val="1416"/>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被授权人联系电话：（手机）</w:t>
      </w:r>
      <w:r/>
    </w:p>
    <w:p>
      <w:pPr>
        <w:pStyle w:val="1416"/>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授权单位名称：（盖CA电子公章）</w:t>
      </w:r>
      <w:r/>
    </w:p>
    <w:p>
      <w:pPr>
        <w:pStyle w:val="1416"/>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w:t>
      </w:r>
      <w:r/>
    </w:p>
    <w:p>
      <w:pPr>
        <w:pStyle w:val="1416"/>
        <w:ind w:firstLine="480"/>
        <w:jc w:val="left"/>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bookmarkStart w:id="127" w:name="_Hlt26955070"/>
      <w:r/>
      <w:bookmarkEnd w:id="127"/>
      <w:r/>
      <w:bookmarkStart w:id="128" w:name="_格式3__银行出具的资信证明"/>
      <w:r/>
      <w:bookmarkEnd w:id="128"/>
      <w:r/>
      <w:bookmarkStart w:id="129" w:name="_Hlt26671380"/>
      <w:r/>
      <w:bookmarkEnd w:id="129"/>
      <w:r/>
      <w:r/>
    </w:p>
    <w:p>
      <w:pPr>
        <w:pStyle w:val="1418"/>
        <w:ind w:firstLine="629"/>
        <w:spacing w:line="7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hd w:val="clear" w:color="auto" w:fill="ffffff" w:themeFill="background1"/>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shd w:val="clear" w:color="auto" w:fill="ffffff" w:themeFill="background1"/>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hd w:val="clear" w:color="auto" w:fill="ffffff" w:themeFill="background1"/>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shd w:val="clear" w:color="auto" w:fill="ffffff" w:themeFill="background1"/>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560" w:lineRule="exact"/>
        <w:shd w:val="clear" w:color="auto" w:fill="ffffff" w:themeFill="background1"/>
        <w:rPr>
          <w:rFonts w:hint="eastAsia" w:ascii="宋体" w:hAnsi="宋体" w:eastAsia="宋体" w:cs="宋体"/>
          <w:b/>
          <w:color w:val="auto"/>
          <w:sz w:val="24"/>
          <w:szCs w:val="44"/>
          <w:highlight w:val="none"/>
        </w:rPr>
      </w:pPr>
      <w:r>
        <w:rPr>
          <w:rFonts w:hint="eastAsia" w:ascii="宋体" w:hAnsi="宋体" w:eastAsia="宋体" w:cs="宋体"/>
          <w:b/>
          <w:color w:val="auto"/>
          <w:sz w:val="24"/>
          <w:szCs w:val="44"/>
          <w:highlight w:val="none"/>
        </w:rPr>
      </w:r>
      <w:r/>
    </w:p>
    <w:p>
      <w:pPr>
        <w:jc w:val="left"/>
        <w:spacing w:line="56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spacing w:line="460" w:lineRule="exact"/>
        <w:shd w:val="clear" w:color="auto" w:fill="ffffff" w:themeFill="background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60" w:lineRule="exact"/>
        <w:shd w:val="clear" w:color="auto" w:fill="ffffff" w:themeFill="background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460" w:lineRule="exact"/>
        <w:shd w:val="clear" w:color="auto" w:fill="ffffff" w:themeFill="background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55"/>
        <w:shd w:val="clear" w:color="auto" w:fill="ffffff" w:themeFill="background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hd w:val="clear" w:color="auto" w:fill="ffffff" w:themeFill="background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55"/>
        <w:shd w:val="clear" w:color="auto" w:fill="ffffff" w:themeFill="background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hd w:val="clear" w:color="auto" w:fill="ffffff" w:themeFill="background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55"/>
        <w:shd w:val="clear" w:color="auto" w:fill="ffffff" w:themeFill="background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hd w:val="clear" w:color="auto" w:fill="ffffff" w:themeFill="background1"/>
        <w:rPr>
          <w:rFonts w:hint="eastAsia"/>
          <w:color w:val="auto"/>
          <w:highlight w:val="none"/>
        </w:rPr>
      </w:pPr>
      <w:r>
        <w:rPr>
          <w:rFonts w:hint="eastAsia"/>
          <w:color w:val="auto"/>
          <w:highlight w:val="none"/>
        </w:rPr>
      </w:r>
      <w:r/>
    </w:p>
    <w:p>
      <w:pPr>
        <w:pStyle w:val="855"/>
        <w:shd w:val="clear" w:color="auto" w:fill="ffffff" w:themeFill="background1"/>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7"/>
        <w:numPr>
          <w:ilvl w:val="0"/>
          <w:numId w:val="0"/>
        </w:numPr>
        <w:ind w:firstLine="0"/>
        <w:jc w:val="left"/>
        <w:keepNext w:val="0"/>
        <w:pageBreakBefore w:val="0"/>
        <w:spacing w:before="120" w:after="120" w:line="360" w:lineRule="auto"/>
        <w:rPr>
          <w:rStyle w:val="785"/>
          <w:rFonts w:hint="eastAsia" w:ascii="Times New Roman" w:hAnsi="Times New Roman" w:eastAsia="宋体" w:cs="Times New Roman"/>
          <w:b/>
          <w:caps w:val="0"/>
          <w:color w:val="auto"/>
          <w:sz w:val="32"/>
          <w:szCs w:val="32"/>
          <w:highlight w:val="none"/>
          <w:lang w:val="en-US" w:eastAsia="zh-CN" w:bidi="ar-SA"/>
        </w:rPr>
        <w:outlineLvl w:val="9"/>
      </w:pPr>
      <w:r>
        <w:rPr>
          <w:rStyle w:val="785"/>
          <w:rFonts w:hint="eastAsia" w:ascii="Times New Roman" w:hAnsi="Times New Roman" w:eastAsia="宋体" w:cs="Times New Roman"/>
          <w:b/>
          <w:caps w:val="0"/>
          <w:color w:val="auto"/>
          <w:sz w:val="32"/>
          <w:szCs w:val="32"/>
          <w:highlight w:val="none"/>
          <w:lang w:val="en-US" w:eastAsia="zh-CN" w:bidi="ar-SA"/>
        </w:rPr>
        <w:t xml:space="preserve">四、中小（微）企业声明函（服务）</w:t>
      </w:r>
      <w:r/>
    </w:p>
    <w:p>
      <w:pPr>
        <w:pStyle w:val="1432"/>
        <w:jc w:val="center"/>
        <w:spacing w:before="151" w:after="151" w:line="600" w:lineRule="exact"/>
        <w:shd w:val="clear" w:color="auto" w:fill="ffffff" w:themeFill="background1"/>
        <w:rPr>
          <w:rFonts w:hint="eastAsia" w:ascii="宋体" w:hAnsi="宋体" w:eastAsia="宋体" w:cs="宋体"/>
          <w:color w:val="auto"/>
          <w:sz w:val="28"/>
          <w:szCs w:val="28"/>
          <w:highlight w:val="none"/>
        </w:rPr>
      </w:pPr>
      <w:r>
        <w:rPr>
          <w:rStyle w:val="785"/>
          <w:rFonts w:hint="eastAsia" w:ascii="Times New Roman" w:hAnsi="Times New Roman" w:eastAsia="宋体" w:cs="Times New Roman"/>
          <w:b/>
          <w:caps w:val="0"/>
          <w:color w:val="auto"/>
          <w:sz w:val="32"/>
          <w:szCs w:val="32"/>
          <w:highlight w:val="none"/>
          <w:lang w:val="en-US" w:eastAsia="zh-CN" w:bidi="ar-SA"/>
        </w:rPr>
        <w:t xml:space="preserve">中小（微）企业声明函</w:t>
      </w:r>
      <w:r>
        <w:rPr>
          <w:rFonts w:hint="eastAsia" w:ascii="宋体" w:hAnsi="宋体" w:eastAsia="宋体" w:cs="宋体"/>
          <w:color w:val="auto"/>
          <w:sz w:val="28"/>
          <w:szCs w:val="28"/>
          <w:highlight w:val="none"/>
          <w:shd w:val="clear" w:color="ffffff" w:themeColor="background1" w:fill="ffffff" w:themeFill="background1"/>
        </w:rPr>
        <w:t xml:space="preserve">（服务类）</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rPr>
        <w:t xml:space="preserve"> 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 采购活动，服务全部由符合政策的中小微企业承接。</w:t>
      </w:r>
      <w:r>
        <w:rPr>
          <w:rFonts w:hint="eastAsia" w:ascii="Times New Roman" w:hAnsi="Times New Roman" w:eastAsia="宋体" w:cs="Times New Roman"/>
          <w:color w:val="auto"/>
          <w:sz w:val="24"/>
          <w:szCs w:val="24"/>
          <w:highlight w:val="none"/>
        </w:rPr>
        <w:t xml:space="preserve">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480" w:lineRule="exact"/>
        <w:shd w:val="clear" w:color="auto" w:fill="ffffff" w:themeFill="background1"/>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（供应商填写磋商文件中明确的所属行业）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ind w:firstLine="480"/>
        <w:spacing w:line="480" w:lineRule="exact"/>
        <w:shd w:val="clear" w:color="auto" w:fill="ffffff" w:themeFill="background1"/>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（供应商填写磋商文件中明确的所属行业）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ind w:firstLine="480"/>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
        <w:jc w:val="right"/>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firstLine="6960"/>
        <w:spacing w:line="48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备注：</w:t>
      </w:r>
      <w:r/>
    </w:p>
    <w:p>
      <w:pPr>
        <w:ind w:firstLine="480"/>
        <w:spacing w:line="360" w:lineRule="auto"/>
        <w:tabs>
          <w:tab w:val="left" w:pos="558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对照《工业和信息化部、国家统计局、国家发展和改革委员会、财政部关于印发中小企业划型标准规定的通知》(工信部联企业[2011]300号)的规定，投标人自行勾选制造商的企业规模类型。（工信部网址：https://baosong.miit.gov.cn/ScaleTest）</w:t>
      </w:r>
      <w:r/>
    </w:p>
    <w:p>
      <w:pPr>
        <w:pStyle w:val="1432"/>
        <w:ind w:firstLine="480"/>
        <w:jc w:val="both"/>
        <w:spacing w:before="151" w:after="151" w:line="600" w:lineRule="exact"/>
        <w:shd w:val="clear" w:color="auto" w:fill="ffffff" w:themeFill="background1"/>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432"/>
        <w:ind w:firstLine="480"/>
        <w:jc w:val="both"/>
        <w:spacing w:before="151" w:after="151" w:line="600" w:lineRule="exact"/>
        <w:shd w:val="clear" w:color="auto" w:fill="ffffff" w:themeFill="background1"/>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432"/>
        <w:ind w:firstLine="480"/>
        <w:jc w:val="both"/>
        <w:spacing w:before="151" w:after="151" w:line="600" w:lineRule="exact"/>
        <w:shd w:val="clear" w:color="auto" w:fill="ffffff" w:themeFill="background1"/>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432"/>
        <w:ind w:firstLine="480"/>
        <w:jc w:val="both"/>
        <w:spacing w:before="151" w:after="151" w:line="600" w:lineRule="exact"/>
        <w:shd w:val="clear" w:color="auto" w:fill="ffffff" w:themeFill="background1"/>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432"/>
        <w:ind w:firstLine="480"/>
        <w:jc w:val="both"/>
        <w:spacing w:before="151" w:after="151" w:line="600" w:lineRule="exact"/>
        <w:shd w:val="clear" w:color="auto" w:fill="ffffff" w:themeFill="background1"/>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432"/>
        <w:ind w:firstLine="480"/>
        <w:jc w:val="both"/>
        <w:spacing w:before="151" w:after="151" w:line="600" w:lineRule="exact"/>
        <w:shd w:val="clear" w:color="auto" w:fill="ffffff" w:themeFill="background1"/>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432"/>
        <w:ind w:firstLine="480"/>
        <w:jc w:val="both"/>
        <w:spacing w:before="151" w:after="151" w:line="600" w:lineRule="exact"/>
        <w:shd w:val="clear" w:color="auto" w:fill="ffffff" w:themeFill="background1"/>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残疾人福利性单位声明函</w:t>
      </w:r>
      <w:r/>
    </w:p>
    <w:p>
      <w:pPr>
        <w:pStyle w:val="1433"/>
        <w:spacing w:line="588" w:lineRule="exact"/>
        <w:shd w:val="clear" w:color="auto" w:fill="ffffff" w:themeFill="background1"/>
        <w:rPr>
          <w:rFonts w:hint="eastAsia" w:ascii="宋体" w:hAnsi="宋体" w:eastAsia="宋体" w:cs="宋体"/>
          <w:b/>
          <w:color w:val="auto"/>
          <w:spacing w:val="6"/>
          <w:sz w:val="30"/>
          <w:szCs w:val="30"/>
          <w:highlight w:val="none"/>
        </w:rPr>
      </w:pPr>
      <w:r>
        <w:rPr>
          <w:rFonts w:hint="eastAsia" w:ascii="宋体" w:hAnsi="宋体" w:eastAsia="宋体" w:cs="宋体"/>
          <w:b/>
          <w:color w:val="auto"/>
          <w:spacing w:val="6"/>
          <w:sz w:val="30"/>
          <w:szCs w:val="30"/>
          <w:highlight w:val="none"/>
        </w:rPr>
      </w:r>
      <w:r/>
    </w:p>
    <w:p>
      <w:pPr>
        <w:pStyle w:val="1432"/>
        <w:ind w:firstLine="480"/>
        <w:spacing w:line="50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（项目名称） </w:t>
      </w:r>
      <w:r>
        <w:rPr>
          <w:rFonts w:hint="eastAsia" w:ascii="宋体" w:hAnsi="宋体" w:eastAsia="宋体" w:cs="宋体"/>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432"/>
        <w:ind w:firstLine="480"/>
        <w:spacing w:line="50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pStyle w:val="1434"/>
        <w:jc w:val="left"/>
        <w:spacing w:line="50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434"/>
        <w:ind w:firstLine="480"/>
        <w:jc w:val="left"/>
        <w:spacing w:line="50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盖CA电子公章</w:t>
      </w:r>
      <w:r>
        <w:rPr>
          <w:rFonts w:hint="eastAsia" w:ascii="宋体" w:hAnsi="宋体" w:eastAsia="宋体" w:cs="宋体"/>
          <w:color w:val="auto"/>
          <w:sz w:val="24"/>
          <w:highlight w:val="none"/>
        </w:rPr>
        <w:t xml:space="preserve">）</w:t>
      </w:r>
      <w:r/>
    </w:p>
    <w:p>
      <w:pPr>
        <w:pStyle w:val="1430"/>
        <w:ind w:firstLine="480"/>
        <w:spacing w:line="500" w:lineRule="exact"/>
        <w:shd w:val="clear" w:color="auto" w:fill="ffffff" w:themeFill="background1"/>
        <w:rPr>
          <w:rFonts w:hint="eastAsia" w:ascii="宋体" w:hAnsi="宋体" w:eastAsia="宋体" w:cs="宋体"/>
          <w:b w:val="0"/>
          <w:color w:val="auto"/>
          <w:sz w:val="24"/>
          <w:szCs w:val="20"/>
          <w:highlight w:val="none"/>
        </w:rPr>
      </w:pPr>
      <w:r>
        <w:rPr>
          <w:rFonts w:hint="eastAsia" w:ascii="宋体" w:hAnsi="宋体" w:eastAsia="宋体" w:cs="宋体"/>
          <w:b w:val="0"/>
          <w:color w:val="auto"/>
          <w:sz w:val="24"/>
          <w:szCs w:val="20"/>
          <w:highlight w:val="none"/>
        </w:rPr>
        <w:t xml:space="preserve">日期：  年  月  日</w:t>
      </w:r>
      <w:r/>
    </w:p>
    <w:p>
      <w:pPr>
        <w:pStyle w:val="1435"/>
        <w:ind w:left="357" w:firstLine="0"/>
        <w:spacing w:line="500" w:lineRule="exac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32"/>
        <w:ind w:firstLine="445"/>
        <w:spacing w:before="151" w:after="151" w:line="240" w:lineRule="atLeast"/>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备注：1.非残疾人福利性单位不需提供此函。</w:t>
      </w:r>
      <w:r/>
    </w:p>
    <w:p>
      <w:pPr>
        <w:ind w:right="1560" w:firstLine="480"/>
        <w:jc w:val="both"/>
        <w:spacing w:line="588" w:lineRule="exact"/>
        <w:shd w:val="clear" w:color="auto" w:fill="ffffff" w:themeFill="background1"/>
        <w:tabs>
          <w:tab w:val="left" w:pos="4860" w:leader="none"/>
        </w:tabs>
        <w:rPr>
          <w:rFonts w:hint="eastAsia" w:ascii="宋体" w:hAnsi="宋体" w:eastAsia="宋体" w:cs="宋体"/>
          <w:b/>
          <w:color w:val="auto"/>
          <w:sz w:val="32"/>
          <w:szCs w:val="32"/>
          <w:highlight w:val="none"/>
        </w:rPr>
      </w:pPr>
      <w:r>
        <w:rPr>
          <w:rFonts w:hint="eastAsia" w:ascii="宋体" w:hAnsi="宋体" w:eastAsia="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成交供应商为残疾人福利单位的，此声明函将随成交结果同时公告，接受社会监督</w:t>
      </w:r>
      <w:r/>
    </w:p>
    <w:p>
      <w:pPr>
        <w:jc w:val="center"/>
        <w:spacing w:line="560" w:lineRule="exact"/>
        <w:shd w:val="clear" w:color="auto" w:fill="ffffff" w:themeFill="background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shd w:val="clear" w:color="auto" w:fill="ffffff" w:themeFill="background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shd w:val="clear" w:color="auto" w:fill="ffffff" w:themeFill="background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shd w:val="clear" w:color="auto" w:fill="ffffff" w:themeFill="background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shd w:val="clear" w:color="auto" w:fill="ffffff" w:themeFill="background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shd w:val="clear" w:color="auto" w:fill="ffffff" w:themeFill="background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both"/>
        <w:spacing w:line="560" w:lineRule="exact"/>
        <w:shd w:val="clear" w:color="auto" w:fill="ffffff" w:themeFill="background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17"/>
        <w:jc w:val="left"/>
        <w:shd w:val="clear" w:color="auto" w:fill="ffffff" w:themeFill="background1"/>
        <w:rPr>
          <w:rFonts w:hint="eastAsia" w:ascii="宋体" w:hAnsi="宋体" w:eastAsia="宋体" w:cs="宋体"/>
          <w:color w:val="auto"/>
          <w:highlight w:val="none"/>
        </w:rPr>
      </w:pPr>
      <w:r/>
      <w:bookmarkStart w:id="130" w:name="_Toc9025"/>
      <w:r>
        <w:rPr>
          <w:rFonts w:hint="eastAsia" w:ascii="宋体" w:hAnsi="宋体" w:eastAsia="宋体" w:cs="宋体"/>
          <w:color w:val="auto"/>
          <w:highlight w:val="none"/>
        </w:rPr>
        <w:t xml:space="preserve">五、</w:t>
      </w:r>
      <w:bookmarkEnd w:id="130"/>
      <w:r>
        <w:rPr>
          <w:rFonts w:hint="eastAsia" w:ascii="宋体" w:hAnsi="宋体" w:eastAsia="宋体" w:cs="宋体"/>
          <w:color w:val="auto"/>
          <w:highlight w:val="none"/>
        </w:rPr>
        <w:t xml:space="preserve">磋商报价表</w:t>
      </w:r>
      <w:r/>
    </w:p>
    <w:p>
      <w:pPr>
        <w:ind w:firstLine="482"/>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全称（加盖CA电子签章）：</w:t>
      </w:r>
      <w:r/>
    </w:p>
    <w:p>
      <w:pPr>
        <w:ind w:left="0" w:right="0" w:firstLine="480"/>
        <w:jc w:val="both"/>
        <w:spacing w:before="0" w:after="0" w:line="499" w:lineRule="atLeast"/>
        <w:shd w:val="clear" w:color="auto" w:fill="ffffff" w:themeFill="background1"/>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color w:val="auto"/>
          <w:sz w:val="24"/>
          <w:highlight w:val="none"/>
          <w:lang w:eastAsia="zh-CN"/>
        </w:rPr>
        <w:t xml:space="preserve">泗洪县(2026-2027年度)残疾人综合意外险采购项目</w:t>
      </w:r>
      <w:r/>
    </w:p>
    <w:p>
      <w:pPr>
        <w:ind w:left="0" w:right="0" w:firstLine="480"/>
        <w:jc w:val="both"/>
        <w:spacing w:before="0" w:after="0" w:line="499" w:lineRule="atLeast"/>
        <w:shd w:val="clear" w:color="auto" w:fill="ffffff" w:themeFill="background1"/>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color w:val="auto"/>
          <w:sz w:val="24"/>
          <w:szCs w:val="24"/>
          <w:highlight w:val="none"/>
          <w:lang w:eastAsia="zh-CN"/>
        </w:rPr>
        <w:t xml:space="preserve">JSZC-321324-XSZX-C2025-0017</w:t>
      </w:r>
      <w:r>
        <w:rPr>
          <w:rFonts w:hint="eastAsia" w:ascii="宋体" w:hAnsi="宋体" w:eastAsia="宋体" w:cs="宋体"/>
          <w:sz w:val="24"/>
          <w:szCs w:val="24"/>
          <w:highlight w:val="none"/>
          <w:lang w:eastAsia="zh-CN"/>
        </w:rPr>
        <w:t xml:space="preserve">    </w:t>
      </w:r>
      <w:r>
        <w:rPr>
          <w:rFonts w:hint="eastAsia" w:ascii="宋体" w:hAnsi="宋体" w:eastAsia="宋体" w:cs="宋体"/>
          <w:sz w:val="24"/>
          <w:szCs w:val="24"/>
          <w:highlight w:val="none"/>
        </w:rPr>
        <w:t xml:space="preserve">                               </w:t>
      </w:r>
      <w:r/>
    </w:p>
    <w:p>
      <w:pPr>
        <w:ind w:firstLine="482"/>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分包号：</w:t>
      </w:r>
      <w:r/>
    </w:p>
    <w:tbl>
      <w:tblPr>
        <w:tblStyle w:val="78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磋商报价（固定单</w:t>
            </w:r>
            <w:r>
              <w:rPr>
                <w:rFonts w:hint="eastAsia" w:ascii="宋体" w:hAnsi="宋体" w:eastAsia="宋体" w:cs="宋体"/>
                <w:sz w:val="24"/>
                <w:szCs w:val="24"/>
                <w:highlight w:val="none"/>
              </w:rPr>
              <w:t xml:space="preserve">价</w:t>
            </w:r>
            <w:r>
              <w:rPr>
                <w:rFonts w:hint="eastAsia" w:ascii="宋体" w:hAnsi="宋体" w:eastAsia="宋体" w:cs="宋体"/>
                <w:sz w:val="24"/>
                <w:szCs w:val="24"/>
                <w:highlight w:val="none"/>
                <w:lang w:eastAsia="zh-CN"/>
              </w:rPr>
              <w:t xml:space="preserve">）</w:t>
            </w:r>
            <w:r/>
          </w:p>
        </w:tc>
      </w:tr>
      <w:tr>
        <w:trPr>
          <w:cantSplit/>
          <w:trHeight w:val="612"/>
        </w:trPr>
        <w:tc>
          <w:tcPr>
            <w:tcW w:w="8886" w:type="dxa"/>
            <w:vAlign w:val="center"/>
            <w:textDirection w:val="lrTb"/>
            <w:noWrap w:val="false"/>
          </w:tcPr>
          <w:p>
            <w:pPr>
              <w:jc w:val="left"/>
              <w:spacing w:line="500" w:lineRule="exact"/>
              <w:rPr>
                <w:rFonts w:hint="eastAsia" w:ascii="宋体" w:hAnsi="宋体" w:eastAsia="宋体" w:cs="宋体"/>
                <w:sz w:val="24"/>
                <w:szCs w:val="21"/>
                <w:highlight w:val="none"/>
              </w:rPr>
            </w:pPr>
            <w:r>
              <w:rPr>
                <w:rFonts w:hint="eastAsia" w:ascii="宋体" w:hAnsi="宋体" w:eastAsia="宋体" w:cs="宋体"/>
                <w:sz w:val="24"/>
                <w:szCs w:val="24"/>
                <w:highlight w:val="none"/>
              </w:rPr>
              <w:t xml:space="preserve">小写：   </w:t>
            </w:r>
            <w:r>
              <w:rPr>
                <w:rFonts w:hint="eastAsia" w:ascii="宋体" w:hAnsi="宋体" w:eastAsia="宋体" w:cs="宋体"/>
                <w:b/>
                <w:bCs/>
                <w:color w:val="auto"/>
                <w:sz w:val="24"/>
                <w:highlight w:val="none"/>
              </w:rPr>
              <w:t xml:space="preserve">40元/人/年</w:t>
            </w:r>
            <w:r>
              <w:rPr>
                <w:rFonts w:hint="eastAsia" w:ascii="宋体" w:hAnsi="宋体" w:eastAsia="宋体" w:cs="宋体"/>
                <w:sz w:val="24"/>
                <w:szCs w:val="24"/>
                <w:highlight w:val="none"/>
              </w:rPr>
              <w:t xml:space="preserve">                          </w:t>
            </w:r>
            <w:r/>
          </w:p>
        </w:tc>
      </w:tr>
    </w:tbl>
    <w:p>
      <w:pPr>
        <w:pStyle w:val="828"/>
        <w:rPr>
          <w:rFonts w:hint="eastAsia"/>
          <w:color w:val="auto"/>
          <w:highlight w:val="none"/>
        </w:rPr>
      </w:pPr>
      <w:r>
        <w:rPr>
          <w:rFonts w:hint="eastAsia"/>
          <w:color w:val="auto"/>
          <w:highlight w:val="none"/>
        </w:rPr>
      </w:r>
      <w:r/>
    </w:p>
    <w:p>
      <w:pPr>
        <w:jc w:val="left"/>
        <w:spacing w:before="100" w:beforeAutospacing="1" w:after="100" w:afterAutospacing="1"/>
        <w:shd w:val="clear" w:color="auto" w:fill="ffffff" w:themeFill="background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highlight w:val="none"/>
        </w:rPr>
        <w:t xml:space="preserve">CA</w:t>
      </w:r>
      <w:r>
        <w:rPr>
          <w:rFonts w:hint="eastAsia" w:ascii="宋体" w:hAnsi="宋体" w:eastAsia="宋体" w:cs="宋体"/>
          <w:color w:val="auto"/>
          <w:sz w:val="24"/>
          <w:szCs w:val="24"/>
          <w:highlight w:val="none"/>
        </w:rPr>
        <w:t xml:space="preserve">电子签章）：</w:t>
      </w:r>
      <w:r/>
    </w:p>
    <w:p>
      <w:pPr>
        <w:spacing w:line="480" w:lineRule="exact"/>
        <w:shd w:val="clear" w:color="auto" w:fill="ffffff" w:themeFill="background1"/>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供应商名称</w:t>
      </w:r>
      <w:r/>
    </w:p>
    <w:p>
      <w:pPr>
        <w:ind w:left="0" w:right="0" w:firstLine="480"/>
        <w:jc w:val="both"/>
        <w:spacing w:before="0" w:after="0" w:line="479" w:lineRule="atLeast"/>
        <w:shd w:val="clear" w:color="auto" w:fill="ffffff" w:themeFill="background1"/>
        <w:rPr>
          <w:rFonts w:hint="eastAsia" w:ascii="宋体" w:hAnsi="宋体" w:eastAsia="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本项目</w:t>
      </w:r>
      <w:r>
        <w:rPr>
          <w:rFonts w:hint="eastAsia" w:ascii="宋体" w:hAnsi="宋体" w:eastAsia="宋体" w:cs="宋体"/>
          <w:b/>
          <w:bCs/>
          <w:color w:val="auto"/>
          <w:sz w:val="24"/>
          <w:highlight w:val="none"/>
        </w:rPr>
        <w:t xml:space="preserve">保费</w:t>
      </w:r>
      <w:r>
        <w:rPr>
          <w:rFonts w:hint="eastAsia" w:ascii="宋体" w:hAnsi="宋体" w:eastAsia="宋体" w:cs="宋体"/>
          <w:b/>
          <w:bCs/>
          <w:color w:val="auto"/>
          <w:sz w:val="24"/>
          <w:highlight w:val="none"/>
          <w:lang w:eastAsia="zh-CN"/>
        </w:rPr>
        <w:t xml:space="preserve">为固定单价</w:t>
      </w:r>
      <w:r>
        <w:rPr>
          <w:rFonts w:hint="eastAsia" w:ascii="宋体" w:hAnsi="宋体" w:eastAsia="宋体" w:cs="宋体"/>
          <w:b/>
          <w:bCs/>
          <w:color w:val="auto"/>
          <w:sz w:val="24"/>
          <w:highlight w:val="none"/>
        </w:rPr>
        <w:t xml:space="preserve">40元/人/年</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各供应商磋商报价表不得随意更改，按要求填写</w:t>
      </w:r>
      <w:r>
        <w:rPr>
          <w:rFonts w:hint="eastAsia" w:ascii="宋体" w:hAnsi="宋体" w:eastAsia="宋体" w:cs="宋体"/>
          <w:b/>
          <w:bCs/>
          <w:color w:val="auto"/>
          <w:sz w:val="24"/>
          <w:highlight w:val="none"/>
        </w:rPr>
        <w:t xml:space="preserve">40元/人/年</w:t>
      </w:r>
      <w:r>
        <w:rPr>
          <w:rFonts w:hint="eastAsia" w:ascii="宋体" w:hAnsi="宋体" w:eastAsia="宋体" w:cs="宋体"/>
          <w:b/>
          <w:bCs/>
          <w:color w:val="auto"/>
          <w:sz w:val="24"/>
          <w:highlight w:val="none"/>
          <w:lang w:eastAsia="zh-CN"/>
        </w:rPr>
        <w:t xml:space="preserve">。</w:t>
      </w:r>
      <w:r/>
    </w:p>
    <w:p>
      <w:pPr>
        <w:jc w:val="left"/>
        <w:spacing w:before="100" w:beforeAutospacing="1" w:after="100" w:afterAutospacing="1"/>
        <w:shd w:val="clear" w:color="auto" w:fill="ffffff" w:themeFill="background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before="100" w:beforeAutospacing="1" w:after="100" w:afterAutospacing="1"/>
        <w:shd w:val="clear" w:color="auto" w:fill="ffffff" w:themeFill="background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right"/>
        <w:spacing w:before="100" w:beforeAutospacing="1" w:after="100" w:afterAutospacing="1"/>
        <w:shd w:val="clear" w:color="auto" w:fill="ffffff" w:themeFill="background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9"/>
        </w:numPr>
        <w:jc w:val="both"/>
        <w:shd w:val="clear" w:color="auto" w:fill="ffffff" w:themeFill="background1"/>
        <w:rPr>
          <w:rFonts w:hint="eastAsia" w:ascii="宋体" w:hAnsi="宋体" w:eastAsia="宋体" w:cs="宋体"/>
          <w:b/>
          <w:color w:val="auto"/>
          <w:sz w:val="32"/>
          <w:szCs w:val="32"/>
          <w:highlight w:val="none"/>
        </w:rPr>
      </w:pPr>
      <w:r>
        <w:rPr>
          <w:rFonts w:hint="eastAsia" w:ascii="宋体" w:hAnsi="宋体" w:cs="宋体"/>
          <w:b/>
          <w:color w:val="auto"/>
          <w:sz w:val="32"/>
          <w:szCs w:val="32"/>
          <w:highlight w:val="none"/>
          <w:lang w:val="en-US" w:eastAsia="zh-CN"/>
        </w:rPr>
        <w:t xml:space="preserve">明细</w:t>
      </w:r>
      <w:r>
        <w:rPr>
          <w:rFonts w:hint="eastAsia" w:ascii="宋体" w:hAnsi="宋体" w:eastAsia="宋体" w:cs="宋体"/>
          <w:b/>
          <w:color w:val="auto"/>
          <w:sz w:val="32"/>
          <w:szCs w:val="32"/>
          <w:highlight w:val="none"/>
        </w:rPr>
        <w:t xml:space="preserve">报价表</w:t>
      </w:r>
      <w:r/>
    </w:p>
    <w:p>
      <w:pPr>
        <w:pStyle w:val="850"/>
        <w:jc w:val="center"/>
        <w:spacing w:line="600" w:lineRule="exact"/>
        <w:rPr>
          <w:rStyle w:val="785"/>
          <w:rFonts w:ascii="方正小标宋_GBK" w:hAnsi="Calibri" w:eastAsia="方正小标宋_GBK" w:cs="Times New Roman"/>
          <w:bCs/>
          <w:color w:val="auto"/>
          <w:sz w:val="32"/>
          <w:szCs w:val="32"/>
          <w:highlight w:val="none"/>
        </w:rPr>
      </w:pPr>
      <w:r>
        <w:rPr>
          <w:rStyle w:val="785"/>
          <w:rFonts w:hint="eastAsia" w:ascii="方正小标宋_GBK" w:hAnsi="Calibri" w:eastAsia="方正小标宋_GBK" w:cs="Times New Roman"/>
          <w:bCs/>
          <w:color w:val="auto"/>
          <w:sz w:val="32"/>
          <w:szCs w:val="32"/>
          <w:highlight w:val="none"/>
        </w:rPr>
        <w:t xml:space="preserve">明细报价表（服务类）</w:t>
      </w:r>
      <w:r/>
    </w:p>
    <w:tbl>
      <w:tblPr>
        <w:tblStyle w:val="786"/>
        <w:tblW w:w="83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3767"/>
        <w:gridCol w:w="2235"/>
        <w:gridCol w:w="1690"/>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850"/>
              <w:jc w:val="center"/>
              <w:spacing w:line="360" w:lineRule="exact"/>
              <w:widowControl/>
              <w:rPr>
                <w:rStyle w:val="785"/>
                <w:rFonts w:ascii="宋体" w:hAnsi="宋体" w:eastAsia="宋体" w:cs="Times New Roman"/>
                <w:color w:val="auto"/>
                <w:sz w:val="28"/>
                <w:szCs w:val="28"/>
                <w:highlight w:val="none"/>
                <w:lang w:val="en-US" w:eastAsia="zh-CN" w:bidi="ar-SA"/>
              </w:rPr>
            </w:pPr>
            <w:r>
              <w:rPr>
                <w:rStyle w:val="785"/>
                <w:rFonts w:hint="eastAsia" w:ascii="宋体" w:hAnsi="宋体" w:eastAsia="宋体" w:cs="Times New Roman"/>
                <w:color w:val="auto"/>
                <w:sz w:val="28"/>
                <w:szCs w:val="28"/>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3767" w:type="dxa"/>
            <w:vAlign w:val="center"/>
            <w:textDirection w:val="lrTb"/>
            <w:noWrap w:val="false"/>
          </w:tcPr>
          <w:p>
            <w:pPr>
              <w:pStyle w:val="850"/>
              <w:jc w:val="center"/>
              <w:spacing w:line="360" w:lineRule="exact"/>
              <w:widowControl/>
              <w:rPr>
                <w:rStyle w:val="785"/>
                <w:rFonts w:ascii="宋体" w:hAnsi="宋体" w:eastAsia="宋体" w:cs="Times New Roman"/>
                <w:color w:val="auto"/>
                <w:sz w:val="28"/>
                <w:szCs w:val="28"/>
                <w:highlight w:val="none"/>
                <w:lang w:val="en-US" w:eastAsia="zh-CN" w:bidi="ar-SA"/>
              </w:rPr>
            </w:pPr>
            <w:r>
              <w:rPr>
                <w:rStyle w:val="785"/>
                <w:rFonts w:hint="eastAsia" w:ascii="宋体" w:hAnsi="宋体" w:eastAsia="宋体" w:cs="Times New Roman"/>
                <w:color w:val="auto"/>
                <w:sz w:val="28"/>
                <w:szCs w:val="28"/>
                <w:highlight w:val="none"/>
                <w:lang w:val="en-US" w:eastAsia="zh-CN" w:bidi="ar-SA"/>
              </w:rPr>
              <w:t xml:space="preserve">服务费用简述</w:t>
            </w:r>
            <w:r/>
          </w:p>
        </w:tc>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pStyle w:val="850"/>
              <w:jc w:val="center"/>
              <w:spacing w:line="360" w:lineRule="exact"/>
              <w:widowControl/>
              <w:rPr>
                <w:rStyle w:val="785"/>
                <w:rFonts w:ascii="宋体" w:hAnsi="宋体" w:eastAsia="宋体" w:cs="Times New Roman"/>
                <w:color w:val="auto"/>
                <w:sz w:val="28"/>
                <w:szCs w:val="28"/>
                <w:highlight w:val="none"/>
                <w:lang w:val="en-US" w:eastAsia="zh-CN" w:bidi="ar-SA"/>
              </w:rPr>
            </w:pPr>
            <w:r>
              <w:rPr>
                <w:rStyle w:val="785"/>
                <w:rFonts w:hint="eastAsia" w:ascii="宋体" w:hAnsi="宋体" w:eastAsia="宋体" w:cs="Times New Roman"/>
                <w:color w:val="auto"/>
                <w:sz w:val="28"/>
                <w:szCs w:val="28"/>
                <w:highlight w:val="none"/>
                <w:lang w:val="en-US" w:eastAsia="zh-CN" w:bidi="ar-SA"/>
              </w:rPr>
              <w:t xml:space="preserve">单价（元/人）</w:t>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pStyle w:val="850"/>
              <w:jc w:val="center"/>
              <w:spacing w:line="360" w:lineRule="exact"/>
              <w:widowControl/>
              <w:rPr>
                <w:rStyle w:val="785"/>
                <w:rFonts w:ascii="宋体" w:hAnsi="宋体" w:eastAsia="宋体" w:cs="Times New Roman"/>
                <w:color w:val="auto"/>
                <w:sz w:val="28"/>
                <w:szCs w:val="28"/>
                <w:highlight w:val="none"/>
                <w:lang w:val="en-US" w:eastAsia="zh-CN" w:bidi="ar-SA"/>
              </w:rPr>
            </w:pPr>
            <w:r>
              <w:rPr>
                <w:rStyle w:val="785"/>
                <w:rFonts w:hint="eastAsia" w:ascii="宋体" w:hAnsi="宋体" w:eastAsia="宋体" w:cs="Times New Roman"/>
                <w:color w:val="auto"/>
                <w:sz w:val="28"/>
                <w:szCs w:val="28"/>
                <w:highlight w:val="none"/>
                <w:lang w:val="en-US" w:eastAsia="zh-CN" w:bidi="ar-SA"/>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850"/>
              <w:jc w:val="center"/>
              <w:spacing w:line="560" w:lineRule="exact"/>
              <w:widowControl/>
              <w:rPr>
                <w:rStyle w:val="785"/>
                <w:rFonts w:ascii="宋体" w:hAnsi="宋体" w:eastAsia="宋体" w:cs="Times New Roman"/>
                <w:color w:val="auto"/>
                <w:sz w:val="28"/>
                <w:szCs w:val="28"/>
                <w:highlight w:val="none"/>
                <w:lang w:val="en-US" w:eastAsia="zh-CN" w:bidi="ar-SA"/>
              </w:rPr>
            </w:pPr>
            <w:r>
              <w:rPr>
                <w:rStyle w:val="785"/>
                <w:rFonts w:hint="eastAsia" w:ascii="宋体" w:hAnsi="宋体" w:eastAsia="宋体" w:cs="Times New Roman"/>
                <w:color w:val="auto"/>
                <w:sz w:val="28"/>
                <w:szCs w:val="28"/>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3767" w:type="dxa"/>
            <w:vAlign w:val="center"/>
            <w:textDirection w:val="lrTb"/>
            <w:noWrap w:val="false"/>
          </w:tcPr>
          <w:p>
            <w:pPr>
              <w:pStyle w:val="850"/>
              <w:jc w:val="left"/>
              <w:keepLines w:val="0"/>
              <w:keepNext w:val="0"/>
              <w:pageBreakBefore w:val="0"/>
              <w:spacing w:line="360" w:lineRule="exact"/>
              <w:widowControl/>
              <w:rPr>
                <w:rStyle w:val="785"/>
                <w:rFonts w:hint="eastAsia" w:ascii="仿宋_GB2312" w:hAnsi="仿宋_GB2312" w:eastAsia="宋体" w:cs="Times New Roman"/>
                <w:color w:val="auto"/>
                <w:sz w:val="24"/>
                <w:szCs w:val="22"/>
                <w:highlight w:val="none"/>
                <w:lang w:val="en-US" w:eastAsia="zh-CN" w:bidi="ar-SA"/>
              </w:rPr>
            </w:pPr>
            <w:r>
              <w:rPr>
                <w:rStyle w:val="785"/>
                <w:rFonts w:hint="eastAsia" w:ascii="仿宋_GB2312" w:hAnsi="仿宋_GB2312" w:eastAsia="宋体" w:cs="Times New Roman"/>
                <w:color w:val="auto"/>
                <w:sz w:val="24"/>
                <w:szCs w:val="22"/>
                <w:highlight w:val="none"/>
                <w:lang w:val="en-US" w:eastAsia="zh-CN" w:bidi="ar-SA"/>
              </w:rPr>
              <w:t xml:space="preserve">人身意外伤害身故赔偿限额</w:t>
            </w:r>
            <w:r/>
          </w:p>
        </w:tc>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pStyle w:val="850"/>
              <w:jc w:val="center"/>
              <w:spacing w:line="560" w:lineRule="exact"/>
              <w:widowControl w:val="off"/>
              <w:rPr>
                <w:rStyle w:val="785"/>
                <w:rFonts w:ascii="仿宋_GB2312" w:hAnsi="仿宋_GB2312" w:eastAsia="宋体" w:cs="Times New Roman"/>
                <w:color w:val="auto"/>
                <w:sz w:val="24"/>
                <w:szCs w:val="22"/>
                <w:highlight w:val="none"/>
                <w:lang w:val="en-US" w:eastAsia="zh-CN" w:bidi="ar-SA"/>
              </w:rPr>
            </w:pPr>
            <w:r>
              <w:rPr>
                <w:rFonts w:ascii="仿宋_GB2312" w:hAnsi="仿宋_GB2312" w:eastAsia="宋体" w:cs="Times New Roman"/>
                <w:color w:val="auto"/>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pStyle w:val="850"/>
              <w:jc w:val="center"/>
              <w:spacing w:line="560" w:lineRule="exact"/>
              <w:widowControl w:val="off"/>
              <w:rPr>
                <w:rStyle w:val="785"/>
                <w:rFonts w:ascii="仿宋_GB2312" w:hAnsi="仿宋_GB2312" w:eastAsia="宋体" w:cs="Times New Roman"/>
                <w:color w:val="auto"/>
                <w:sz w:val="24"/>
                <w:szCs w:val="22"/>
                <w:highlight w:val="none"/>
                <w:lang w:val="en-US" w:eastAsia="zh-CN" w:bidi="ar-SA"/>
              </w:rPr>
            </w:pPr>
            <w:r>
              <w:rPr>
                <w:rFonts w:ascii="仿宋_GB2312" w:hAnsi="仿宋_GB2312" w:eastAsia="宋体" w:cs="Times New Roman"/>
                <w:color w:val="auto"/>
                <w:sz w:val="24"/>
                <w:szCs w:val="22"/>
                <w:highlight w:val="none"/>
                <w:lang w:val="en-US" w:eastAsia="zh-CN" w:bidi="ar-SA"/>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850"/>
              <w:jc w:val="center"/>
              <w:spacing w:line="560" w:lineRule="exact"/>
              <w:widowControl/>
              <w:rPr>
                <w:rStyle w:val="785"/>
                <w:rFonts w:ascii="宋体" w:hAnsi="宋体" w:eastAsia="宋体" w:cs="Times New Roman"/>
                <w:color w:val="auto"/>
                <w:sz w:val="28"/>
                <w:szCs w:val="28"/>
                <w:highlight w:val="none"/>
                <w:lang w:val="en-US" w:eastAsia="zh-CN" w:bidi="ar-SA"/>
              </w:rPr>
            </w:pPr>
            <w:r>
              <w:rPr>
                <w:rStyle w:val="785"/>
                <w:rFonts w:hint="eastAsia" w:ascii="宋体" w:hAnsi="宋体" w:eastAsia="宋体" w:cs="Times New Roman"/>
                <w:color w:val="auto"/>
                <w:sz w:val="28"/>
                <w:szCs w:val="28"/>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3767" w:type="dxa"/>
            <w:vAlign w:val="center"/>
            <w:textDirection w:val="lrTb"/>
            <w:noWrap w:val="false"/>
          </w:tcPr>
          <w:p>
            <w:pPr>
              <w:pStyle w:val="850"/>
              <w:jc w:val="left"/>
              <w:keepLines w:val="0"/>
              <w:keepNext w:val="0"/>
              <w:pageBreakBefore w:val="0"/>
              <w:spacing w:line="360" w:lineRule="exact"/>
              <w:widowControl/>
              <w:rPr>
                <w:rStyle w:val="785"/>
                <w:rFonts w:hint="eastAsia" w:ascii="仿宋_GB2312" w:hAnsi="仿宋_GB2312" w:eastAsia="宋体" w:cs="Times New Roman"/>
                <w:color w:val="auto"/>
                <w:sz w:val="24"/>
                <w:szCs w:val="22"/>
                <w:highlight w:val="none"/>
                <w:lang w:val="en-US" w:eastAsia="zh-CN" w:bidi="ar-SA"/>
              </w:rPr>
            </w:pPr>
            <w:r>
              <w:rPr>
                <w:rStyle w:val="785"/>
                <w:rFonts w:hint="eastAsia" w:ascii="仿宋_GB2312" w:hAnsi="仿宋_GB2312" w:eastAsia="宋体" w:cs="Times New Roman"/>
                <w:color w:val="auto"/>
                <w:sz w:val="24"/>
                <w:szCs w:val="22"/>
                <w:highlight w:val="none"/>
                <w:lang w:val="en-US" w:eastAsia="zh-CN" w:bidi="ar-SA"/>
              </w:rPr>
              <w:t xml:space="preserve">人身意外伤害残疾赔偿限额</w:t>
            </w:r>
            <w:r/>
          </w:p>
        </w:tc>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pStyle w:val="850"/>
              <w:jc w:val="center"/>
              <w:spacing w:line="560" w:lineRule="exact"/>
              <w:widowControl w:val="off"/>
              <w:rPr>
                <w:rStyle w:val="785"/>
                <w:rFonts w:ascii="仿宋_GB2312" w:hAnsi="仿宋_GB2312" w:eastAsia="宋体" w:cs="Times New Roman"/>
                <w:color w:val="auto"/>
                <w:sz w:val="24"/>
                <w:szCs w:val="22"/>
                <w:highlight w:val="none"/>
                <w:lang w:val="en-US" w:eastAsia="zh-CN" w:bidi="ar-SA"/>
              </w:rPr>
            </w:pPr>
            <w:r>
              <w:rPr>
                <w:rFonts w:ascii="仿宋_GB2312" w:hAnsi="仿宋_GB2312" w:eastAsia="宋体" w:cs="Times New Roman"/>
                <w:color w:val="auto"/>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pStyle w:val="850"/>
              <w:jc w:val="center"/>
              <w:spacing w:line="560" w:lineRule="exact"/>
              <w:widowControl w:val="off"/>
              <w:rPr>
                <w:rStyle w:val="785"/>
                <w:rFonts w:ascii="仿宋_GB2312" w:hAnsi="仿宋_GB2312" w:eastAsia="宋体" w:cs="Times New Roman"/>
                <w:color w:val="auto"/>
                <w:sz w:val="24"/>
                <w:szCs w:val="22"/>
                <w:highlight w:val="none"/>
                <w:lang w:val="en-US" w:eastAsia="zh-CN" w:bidi="ar-SA"/>
              </w:rPr>
            </w:pPr>
            <w:r>
              <w:rPr>
                <w:rFonts w:ascii="仿宋_GB2312" w:hAnsi="仿宋_GB2312" w:eastAsia="宋体" w:cs="Times New Roman"/>
                <w:color w:val="auto"/>
                <w:sz w:val="24"/>
                <w:szCs w:val="22"/>
                <w:highlight w:val="none"/>
                <w:lang w:val="en-US" w:eastAsia="zh-CN" w:bidi="ar-SA"/>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850"/>
              <w:jc w:val="center"/>
              <w:spacing w:line="560" w:lineRule="exact"/>
              <w:widowControl/>
              <w:rPr>
                <w:rStyle w:val="785"/>
                <w:rFonts w:ascii="宋体" w:hAnsi="宋体" w:eastAsia="宋体" w:cs="Times New Roman"/>
                <w:color w:val="auto"/>
                <w:sz w:val="28"/>
                <w:szCs w:val="28"/>
                <w:highlight w:val="none"/>
                <w:lang w:val="en-US" w:eastAsia="zh-CN" w:bidi="ar-SA"/>
              </w:rPr>
            </w:pPr>
            <w:r>
              <w:rPr>
                <w:rStyle w:val="785"/>
                <w:rFonts w:hint="eastAsia" w:ascii="宋体" w:hAnsi="宋体" w:eastAsia="宋体" w:cs="Times New Roman"/>
                <w:color w:val="auto"/>
                <w:sz w:val="28"/>
                <w:szCs w:val="28"/>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3767" w:type="dxa"/>
            <w:vAlign w:val="center"/>
            <w:textDirection w:val="lrTb"/>
            <w:noWrap w:val="false"/>
          </w:tcPr>
          <w:p>
            <w:pPr>
              <w:pStyle w:val="850"/>
              <w:jc w:val="left"/>
              <w:keepLines w:val="0"/>
              <w:keepNext w:val="0"/>
              <w:pageBreakBefore w:val="0"/>
              <w:spacing w:line="360" w:lineRule="exact"/>
              <w:widowControl/>
              <w:rPr>
                <w:rStyle w:val="785"/>
                <w:rFonts w:hint="eastAsia" w:ascii="仿宋_GB2312" w:hAnsi="仿宋_GB2312" w:eastAsia="宋体" w:cs="Times New Roman"/>
                <w:color w:val="auto"/>
                <w:sz w:val="24"/>
                <w:szCs w:val="22"/>
                <w:highlight w:val="none"/>
                <w:lang w:val="en-US" w:eastAsia="zh-CN" w:bidi="ar-SA"/>
              </w:rPr>
            </w:pPr>
            <w:r>
              <w:rPr>
                <w:rStyle w:val="785"/>
                <w:rFonts w:hint="eastAsia" w:ascii="仿宋_GB2312" w:hAnsi="仿宋_GB2312" w:eastAsia="宋体" w:cs="Times New Roman"/>
                <w:color w:val="auto"/>
                <w:sz w:val="24"/>
                <w:szCs w:val="22"/>
                <w:highlight w:val="none"/>
                <w:lang w:val="en-US" w:eastAsia="zh-CN" w:bidi="ar-SA"/>
              </w:rPr>
              <w:t xml:space="preserve">附加意外伤害医疗赔偿限额</w:t>
            </w:r>
            <w:r/>
          </w:p>
        </w:tc>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pStyle w:val="850"/>
              <w:jc w:val="center"/>
              <w:spacing w:line="560" w:lineRule="exact"/>
              <w:widowControl w:val="off"/>
              <w:rPr>
                <w:rStyle w:val="785"/>
                <w:rFonts w:ascii="仿宋_GB2312" w:hAnsi="仿宋_GB2312" w:eastAsia="宋体" w:cs="Times New Roman"/>
                <w:color w:val="auto"/>
                <w:sz w:val="24"/>
                <w:szCs w:val="22"/>
                <w:highlight w:val="none"/>
                <w:lang w:val="en-US" w:eastAsia="zh-CN" w:bidi="ar-SA"/>
              </w:rPr>
            </w:pPr>
            <w:r>
              <w:rPr>
                <w:rFonts w:ascii="仿宋_GB2312" w:hAnsi="仿宋_GB2312" w:eastAsia="宋体" w:cs="Times New Roman"/>
                <w:color w:val="auto"/>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pStyle w:val="850"/>
              <w:jc w:val="center"/>
              <w:spacing w:line="560" w:lineRule="exact"/>
              <w:widowControl w:val="off"/>
              <w:rPr>
                <w:rStyle w:val="785"/>
                <w:rFonts w:ascii="仿宋_GB2312" w:hAnsi="仿宋_GB2312" w:eastAsia="宋体" w:cs="Times New Roman"/>
                <w:color w:val="auto"/>
                <w:sz w:val="24"/>
                <w:szCs w:val="22"/>
                <w:highlight w:val="none"/>
                <w:lang w:val="en-US" w:eastAsia="zh-CN" w:bidi="ar-SA"/>
              </w:rPr>
            </w:pPr>
            <w:r>
              <w:rPr>
                <w:rFonts w:ascii="仿宋_GB2312" w:hAnsi="仿宋_GB2312" w:eastAsia="宋体" w:cs="Times New Roman"/>
                <w:color w:val="auto"/>
                <w:sz w:val="24"/>
                <w:szCs w:val="22"/>
                <w:highlight w:val="none"/>
                <w:lang w:val="en-US" w:eastAsia="zh-CN" w:bidi="ar-SA"/>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850"/>
              <w:jc w:val="center"/>
              <w:spacing w:line="560" w:lineRule="exact"/>
              <w:widowControl/>
              <w:rPr>
                <w:rStyle w:val="785"/>
                <w:rFonts w:ascii="宋体" w:hAnsi="宋体" w:eastAsia="宋体" w:cs="Times New Roman"/>
                <w:color w:val="auto"/>
                <w:sz w:val="28"/>
                <w:szCs w:val="28"/>
                <w:highlight w:val="none"/>
                <w:lang w:val="en-US" w:eastAsia="zh-CN" w:bidi="ar-SA"/>
              </w:rPr>
            </w:pPr>
            <w:r>
              <w:rPr>
                <w:rStyle w:val="785"/>
                <w:rFonts w:hint="eastAsia" w:ascii="宋体" w:hAnsi="宋体" w:eastAsia="宋体" w:cs="Times New Roman"/>
                <w:color w:val="auto"/>
                <w:sz w:val="28"/>
                <w:szCs w:val="28"/>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3767" w:type="dxa"/>
            <w:vAlign w:val="center"/>
            <w:textDirection w:val="lrTb"/>
            <w:noWrap w:val="false"/>
          </w:tcPr>
          <w:p>
            <w:pPr>
              <w:pStyle w:val="850"/>
              <w:jc w:val="left"/>
              <w:keepLines w:val="0"/>
              <w:keepNext w:val="0"/>
              <w:pageBreakBefore w:val="0"/>
              <w:spacing w:line="360" w:lineRule="exact"/>
              <w:widowControl/>
              <w:rPr>
                <w:rStyle w:val="785"/>
                <w:rFonts w:hint="eastAsia" w:ascii="仿宋_GB2312" w:hAnsi="仿宋_GB2312" w:eastAsia="宋体" w:cs="Times New Roman"/>
                <w:color w:val="auto"/>
                <w:sz w:val="24"/>
                <w:szCs w:val="22"/>
                <w:highlight w:val="none"/>
                <w:lang w:val="en-US" w:eastAsia="zh-CN" w:bidi="ar-SA"/>
              </w:rPr>
            </w:pPr>
            <w:r>
              <w:rPr>
                <w:rStyle w:val="785"/>
                <w:rFonts w:hint="eastAsia" w:ascii="仿宋_GB2312" w:hAnsi="仿宋_GB2312" w:eastAsia="宋体" w:cs="Times New Roman"/>
                <w:color w:val="auto"/>
                <w:sz w:val="24"/>
                <w:szCs w:val="22"/>
                <w:highlight w:val="none"/>
                <w:lang w:val="en-US" w:eastAsia="zh-CN" w:bidi="ar-SA"/>
              </w:rPr>
              <w:t xml:space="preserve">因重大疾病发生住院医疗费用自付部分，按70%补偿，补偿限额最高10000元</w:t>
            </w:r>
            <w:r/>
          </w:p>
        </w:tc>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pStyle w:val="850"/>
              <w:jc w:val="center"/>
              <w:spacing w:line="560" w:lineRule="exact"/>
              <w:widowControl w:val="off"/>
              <w:rPr>
                <w:rStyle w:val="785"/>
                <w:rFonts w:ascii="仿宋_GB2312" w:hAnsi="仿宋_GB2312" w:eastAsia="宋体" w:cs="Times New Roman"/>
                <w:color w:val="auto"/>
                <w:sz w:val="24"/>
                <w:szCs w:val="22"/>
                <w:highlight w:val="none"/>
                <w:lang w:val="en-US" w:eastAsia="zh-CN" w:bidi="ar-SA"/>
              </w:rPr>
            </w:pPr>
            <w:r>
              <w:rPr>
                <w:rFonts w:ascii="仿宋_GB2312" w:hAnsi="仿宋_GB2312" w:eastAsia="宋体" w:cs="Times New Roman"/>
                <w:color w:val="auto"/>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pStyle w:val="850"/>
              <w:jc w:val="center"/>
              <w:spacing w:line="560" w:lineRule="exact"/>
              <w:widowControl w:val="off"/>
              <w:rPr>
                <w:rStyle w:val="785"/>
                <w:rFonts w:ascii="仿宋_GB2312" w:hAnsi="仿宋_GB2312" w:eastAsia="宋体" w:cs="Times New Roman"/>
                <w:color w:val="auto"/>
                <w:sz w:val="24"/>
                <w:szCs w:val="22"/>
                <w:highlight w:val="none"/>
                <w:lang w:val="en-US" w:eastAsia="zh-CN" w:bidi="ar-SA"/>
              </w:rPr>
            </w:pPr>
            <w:r>
              <w:rPr>
                <w:rFonts w:ascii="仿宋_GB2312" w:hAnsi="仿宋_GB2312" w:eastAsia="宋体" w:cs="Times New Roman"/>
                <w:color w:val="auto"/>
                <w:sz w:val="24"/>
                <w:szCs w:val="22"/>
                <w:highlight w:val="none"/>
                <w:lang w:val="en-US" w:eastAsia="zh-CN" w:bidi="ar-SA"/>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850"/>
              <w:jc w:val="center"/>
              <w:spacing w:line="560" w:lineRule="exact"/>
              <w:widowControl/>
              <w:rPr>
                <w:rStyle w:val="785"/>
                <w:rFonts w:ascii="宋体" w:hAnsi="宋体" w:eastAsia="宋体" w:cs="Times New Roman"/>
                <w:color w:val="auto"/>
                <w:sz w:val="28"/>
                <w:szCs w:val="28"/>
                <w:highlight w:val="none"/>
                <w:lang w:val="en-US" w:eastAsia="zh-CN" w:bidi="ar-SA"/>
              </w:rPr>
            </w:pPr>
            <w:r>
              <w:rPr>
                <w:rStyle w:val="785"/>
                <w:rFonts w:hint="eastAsia" w:ascii="宋体" w:hAnsi="宋体" w:eastAsia="宋体" w:cs="Times New Roman"/>
                <w:color w:val="auto"/>
                <w:sz w:val="28"/>
                <w:szCs w:val="28"/>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3767" w:type="dxa"/>
            <w:vAlign w:val="center"/>
            <w:textDirection w:val="lrTb"/>
            <w:noWrap w:val="false"/>
          </w:tcPr>
          <w:p>
            <w:pPr>
              <w:pStyle w:val="850"/>
              <w:jc w:val="left"/>
              <w:keepLines w:val="0"/>
              <w:keepNext w:val="0"/>
              <w:pageBreakBefore w:val="0"/>
              <w:spacing w:line="360" w:lineRule="exact"/>
              <w:widowControl/>
              <w:rPr>
                <w:rStyle w:val="785"/>
                <w:rFonts w:hint="eastAsia" w:ascii="仿宋_GB2312" w:hAnsi="仿宋_GB2312" w:eastAsia="宋体" w:cs="Times New Roman"/>
                <w:color w:val="auto"/>
                <w:sz w:val="24"/>
                <w:szCs w:val="22"/>
                <w:highlight w:val="none"/>
                <w:lang w:val="en-US" w:eastAsia="zh-CN" w:bidi="ar-SA"/>
              </w:rPr>
            </w:pPr>
            <w:r>
              <w:rPr>
                <w:rStyle w:val="785"/>
                <w:rFonts w:hint="eastAsia" w:ascii="仿宋_GB2312" w:hAnsi="仿宋_GB2312" w:eastAsia="宋体" w:cs="Times New Roman"/>
                <w:color w:val="auto"/>
                <w:sz w:val="24"/>
                <w:szCs w:val="22"/>
                <w:highlight w:val="none"/>
                <w:lang w:val="en-US" w:eastAsia="zh-CN" w:bidi="ar-SA"/>
              </w:rPr>
              <w:t xml:space="preserve">经二级及以上医疗机构首次确诊的重大疾病105种赔偿限额10000元</w:t>
            </w:r>
            <w:r/>
          </w:p>
        </w:tc>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pStyle w:val="850"/>
              <w:jc w:val="center"/>
              <w:spacing w:line="560" w:lineRule="exact"/>
              <w:widowControl w:val="off"/>
              <w:rPr>
                <w:rStyle w:val="785"/>
                <w:rFonts w:ascii="仿宋_GB2312" w:hAnsi="仿宋_GB2312" w:eastAsia="宋体" w:cs="Times New Roman"/>
                <w:color w:val="auto"/>
                <w:sz w:val="24"/>
                <w:szCs w:val="22"/>
                <w:highlight w:val="none"/>
                <w:lang w:val="en-US" w:eastAsia="zh-CN" w:bidi="ar-SA"/>
              </w:rPr>
            </w:pPr>
            <w:r>
              <w:rPr>
                <w:rFonts w:ascii="仿宋_GB2312" w:hAnsi="仿宋_GB2312" w:eastAsia="宋体" w:cs="Times New Roman"/>
                <w:color w:val="auto"/>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pStyle w:val="850"/>
              <w:jc w:val="center"/>
              <w:spacing w:line="560" w:lineRule="exact"/>
              <w:widowControl w:val="off"/>
              <w:rPr>
                <w:rStyle w:val="785"/>
                <w:rFonts w:ascii="仿宋_GB2312" w:hAnsi="仿宋_GB2312" w:eastAsia="宋体" w:cs="Times New Roman"/>
                <w:color w:val="auto"/>
                <w:sz w:val="24"/>
                <w:szCs w:val="22"/>
                <w:highlight w:val="none"/>
                <w:lang w:val="en-US" w:eastAsia="zh-CN" w:bidi="ar-SA"/>
              </w:rPr>
            </w:pPr>
            <w:r>
              <w:rPr>
                <w:rFonts w:ascii="仿宋_GB2312" w:hAnsi="仿宋_GB2312" w:eastAsia="宋体" w:cs="Times New Roman"/>
                <w:color w:val="auto"/>
                <w:sz w:val="24"/>
                <w:szCs w:val="22"/>
                <w:highlight w:val="none"/>
                <w:lang w:val="en-US" w:eastAsia="zh-CN" w:bidi="ar-SA"/>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850"/>
              <w:jc w:val="center"/>
              <w:spacing w:line="560" w:lineRule="exact"/>
              <w:widowControl/>
              <w:rPr>
                <w:rStyle w:val="785"/>
                <w:rFonts w:hint="default" w:ascii="宋体" w:hAnsi="宋体" w:eastAsia="宋体" w:cs="Times New Roman"/>
                <w:color w:val="auto"/>
                <w:sz w:val="28"/>
                <w:szCs w:val="28"/>
                <w:highlight w:val="none"/>
                <w:lang w:val="en-US" w:eastAsia="zh-CN" w:bidi="ar-SA"/>
              </w:rPr>
            </w:pPr>
            <w:r>
              <w:rPr>
                <w:rStyle w:val="785"/>
                <w:rFonts w:hint="eastAsia" w:ascii="宋体" w:hAnsi="宋体" w:eastAsia="宋体" w:cs="Times New Roman"/>
                <w:color w:val="auto"/>
                <w:sz w:val="28"/>
                <w:szCs w:val="28"/>
                <w:highlight w:val="none"/>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3767" w:type="dxa"/>
            <w:vAlign w:val="center"/>
            <w:textDirection w:val="lrTb"/>
            <w:noWrap w:val="false"/>
          </w:tcPr>
          <w:p>
            <w:pPr>
              <w:pStyle w:val="850"/>
              <w:jc w:val="left"/>
              <w:keepLines w:val="0"/>
              <w:keepNext w:val="0"/>
              <w:pageBreakBefore w:val="0"/>
              <w:spacing w:line="360" w:lineRule="exact"/>
              <w:widowControl/>
              <w:rPr>
                <w:rStyle w:val="785"/>
                <w:rFonts w:hint="eastAsia" w:ascii="仿宋_GB2312" w:hAnsi="仿宋_GB2312" w:eastAsia="宋体" w:cs="Times New Roman"/>
                <w:color w:val="auto"/>
                <w:sz w:val="24"/>
                <w:szCs w:val="22"/>
                <w:highlight w:val="none"/>
                <w:lang w:val="en-US" w:eastAsia="zh-CN" w:bidi="ar-SA"/>
              </w:rPr>
            </w:pPr>
            <w:r>
              <w:rPr>
                <w:rStyle w:val="785"/>
                <w:rFonts w:hint="eastAsia" w:ascii="仿宋_GB2312" w:hAnsi="仿宋_GB2312" w:eastAsia="宋体" w:cs="Times New Roman"/>
                <w:color w:val="auto"/>
                <w:sz w:val="24"/>
                <w:szCs w:val="22"/>
                <w:highlight w:val="none"/>
                <w:lang w:val="en-US" w:eastAsia="zh-CN" w:bidi="ar-SA"/>
              </w:rPr>
              <w:t xml:space="preserve">意外伤害住院津贴、重大疾病住院津贴赔偿限额100元/天/人，最高90天，免赔1天</w:t>
            </w:r>
            <w:r/>
          </w:p>
        </w:tc>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pStyle w:val="850"/>
              <w:jc w:val="center"/>
              <w:spacing w:line="560" w:lineRule="exact"/>
              <w:widowControl w:val="off"/>
              <w:rPr>
                <w:rStyle w:val="785"/>
                <w:rFonts w:ascii="仿宋_GB2312" w:hAnsi="仿宋_GB2312" w:eastAsia="宋体" w:cs="Times New Roman"/>
                <w:color w:val="auto"/>
                <w:sz w:val="24"/>
                <w:szCs w:val="22"/>
                <w:highlight w:val="none"/>
                <w:lang w:val="en-US" w:eastAsia="zh-CN" w:bidi="ar-SA"/>
              </w:rPr>
            </w:pPr>
            <w:r>
              <w:rPr>
                <w:rFonts w:ascii="仿宋_GB2312" w:hAnsi="仿宋_GB2312" w:eastAsia="宋体" w:cs="Times New Roman"/>
                <w:color w:val="auto"/>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pStyle w:val="850"/>
              <w:jc w:val="center"/>
              <w:spacing w:line="560" w:lineRule="exact"/>
              <w:widowControl w:val="off"/>
              <w:rPr>
                <w:rStyle w:val="785"/>
                <w:rFonts w:ascii="仿宋_GB2312" w:hAnsi="仿宋_GB2312" w:eastAsia="宋体" w:cs="Times New Roman"/>
                <w:color w:val="auto"/>
                <w:sz w:val="24"/>
                <w:szCs w:val="22"/>
                <w:highlight w:val="none"/>
                <w:lang w:val="en-US" w:eastAsia="zh-CN" w:bidi="ar-SA"/>
              </w:rPr>
            </w:pPr>
            <w:r>
              <w:rPr>
                <w:rFonts w:ascii="仿宋_GB2312" w:hAnsi="仿宋_GB2312" w:eastAsia="宋体" w:cs="Times New Roman"/>
                <w:color w:val="auto"/>
                <w:sz w:val="24"/>
                <w:szCs w:val="22"/>
                <w:highlight w:val="none"/>
                <w:lang w:val="en-US" w:eastAsia="zh-CN" w:bidi="ar-SA"/>
              </w:rPr>
            </w:r>
            <w:r/>
          </w:p>
        </w:tc>
      </w:tr>
      <w:tr>
        <w:trPr>
          <w:cantSplit/>
          <w:trHeight w:val="3403"/>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850"/>
              <w:jc w:val="center"/>
              <w:spacing w:line="560" w:lineRule="exact"/>
              <w:widowControl/>
              <w:rPr>
                <w:rStyle w:val="785"/>
                <w:rFonts w:ascii="仿宋_GB2312" w:hAnsi="仿宋_GB2312" w:eastAsia="宋体" w:cs="Times New Roman"/>
                <w:color w:val="auto"/>
                <w:sz w:val="28"/>
                <w:szCs w:val="28"/>
                <w:highlight w:val="none"/>
                <w:lang w:val="en-US" w:eastAsia="zh-CN" w:bidi="ar-SA"/>
              </w:rPr>
            </w:pPr>
            <w:r>
              <w:rPr>
                <w:rStyle w:val="785"/>
                <w:rFonts w:hint="eastAsia" w:ascii="仿宋_GB2312" w:hAnsi="Calibri" w:eastAsia="仿宋_GB2312" w:cs="Times New Roman"/>
                <w:color w:val="auto"/>
                <w:sz w:val="28"/>
                <w:szCs w:val="28"/>
                <w:highlight w:val="none"/>
                <w:lang w:val="en-US" w:eastAsia="zh-CN" w:bidi="ar-SA"/>
              </w:rPr>
              <w:t xml:space="preserve">7</w:t>
            </w:r>
            <w:r/>
          </w:p>
        </w:tc>
        <w:tc>
          <w:tcPr>
            <w:tcBorders>
              <w:top w:val="single" w:color="auto" w:sz="4" w:space="0"/>
              <w:left w:val="single" w:color="auto" w:sz="4" w:space="0"/>
              <w:bottom w:val="single" w:color="auto" w:sz="4" w:space="0"/>
              <w:right w:val="single" w:color="auto" w:sz="4" w:space="0"/>
            </w:tcBorders>
            <w:tcW w:w="3767" w:type="dxa"/>
            <w:vAlign w:val="center"/>
            <w:textDirection w:val="lrTb"/>
            <w:noWrap w:val="false"/>
          </w:tcPr>
          <w:p>
            <w:pPr>
              <w:pStyle w:val="850"/>
              <w:jc w:val="left"/>
              <w:keepLines w:val="0"/>
              <w:keepNext w:val="0"/>
              <w:pageBreakBefore w:val="0"/>
              <w:spacing w:line="360" w:lineRule="exact"/>
              <w:widowControl/>
              <w:rPr>
                <w:rStyle w:val="785"/>
                <w:rFonts w:hint="eastAsia" w:ascii="仿宋_GB2312" w:hAnsi="仿宋_GB2312" w:eastAsia="宋体" w:cs="Times New Roman"/>
                <w:color w:val="auto"/>
                <w:sz w:val="24"/>
                <w:szCs w:val="22"/>
                <w:highlight w:val="none"/>
                <w:lang w:val="en-US" w:eastAsia="zh-CN" w:bidi="ar-SA"/>
              </w:rPr>
            </w:pPr>
            <w:r>
              <w:rPr>
                <w:rStyle w:val="785"/>
                <w:rFonts w:hint="eastAsia" w:ascii="仿宋_GB2312" w:hAnsi="仿宋_GB2312" w:eastAsia="宋体" w:cs="Times New Roman"/>
                <w:color w:val="auto"/>
                <w:sz w:val="24"/>
                <w:szCs w:val="22"/>
                <w:highlight w:val="none"/>
                <w:lang w:val="en-US" w:eastAsia="zh-CN" w:bidi="ar-SA"/>
              </w:rPr>
              <w:t xml:space="preserve">在医保定点医疗机构住院发生的医保政策范围内住院费用（外购药除外），经基本医保、大病保险、医疗救助、低收入农户大病补充保险账户支付等医保实际报销后，剩余个人自付部分（不含丙类费用），按照起付线10000元，补偿比例50%，限额5000元/人/年予以补偿</w:t>
            </w:r>
            <w:r/>
          </w:p>
        </w:tc>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pStyle w:val="850"/>
              <w:jc w:val="center"/>
              <w:spacing w:line="560" w:lineRule="exact"/>
              <w:widowControl w:val="off"/>
              <w:rPr>
                <w:rStyle w:val="785"/>
                <w:rFonts w:ascii="仿宋_GB2312" w:hAnsi="仿宋_GB2312" w:eastAsia="宋体" w:cs="Times New Roman"/>
                <w:color w:val="auto"/>
                <w:sz w:val="24"/>
                <w:szCs w:val="22"/>
                <w:highlight w:val="none"/>
                <w:lang w:val="en-US" w:eastAsia="zh-CN" w:bidi="ar-SA"/>
              </w:rPr>
            </w:pPr>
            <w:r>
              <w:rPr>
                <w:rFonts w:ascii="仿宋_GB2312" w:hAnsi="仿宋_GB2312" w:eastAsia="宋体" w:cs="Times New Roman"/>
                <w:color w:val="auto"/>
                <w:sz w:val="24"/>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pStyle w:val="850"/>
              <w:jc w:val="center"/>
              <w:spacing w:line="560" w:lineRule="exact"/>
              <w:widowControl w:val="off"/>
              <w:rPr>
                <w:rStyle w:val="785"/>
                <w:rFonts w:ascii="仿宋_GB2312" w:hAnsi="仿宋_GB2312" w:eastAsia="宋体" w:cs="Times New Roman"/>
                <w:color w:val="auto"/>
                <w:sz w:val="24"/>
                <w:szCs w:val="22"/>
                <w:highlight w:val="none"/>
                <w:lang w:val="en-US" w:eastAsia="zh-CN" w:bidi="ar-SA"/>
              </w:rPr>
            </w:pPr>
            <w:r>
              <w:rPr>
                <w:rFonts w:ascii="仿宋_GB2312" w:hAnsi="仿宋_GB2312" w:eastAsia="宋体" w:cs="Times New Roman"/>
                <w:color w:val="auto"/>
                <w:sz w:val="24"/>
                <w:szCs w:val="22"/>
                <w:highlight w:val="none"/>
                <w:lang w:val="en-US" w:eastAsia="zh-CN" w:bidi="ar-SA"/>
              </w:rPr>
            </w:r>
            <w:r/>
          </w:p>
        </w:tc>
      </w:tr>
    </w:tbl>
    <w:p>
      <w:pPr>
        <w:pStyle w:val="850"/>
        <w:ind w:firstLine="480"/>
        <w:jc w:val="left"/>
        <w:spacing w:line="400" w:lineRule="exact"/>
        <w:widowControl/>
        <w:rPr>
          <w:rStyle w:val="785"/>
          <w:rFonts w:hint="eastAsia" w:ascii="Times New Roman" w:hAnsi="Times New Roman" w:eastAsia="方正仿宋_GBK" w:cs="Times New Roman"/>
          <w:b/>
          <w:color w:val="auto"/>
          <w:sz w:val="24"/>
          <w:highlight w:val="none"/>
        </w:rPr>
      </w:pPr>
      <w:r>
        <w:rPr>
          <w:rStyle w:val="785"/>
          <w:rFonts w:hint="eastAsia" w:ascii="Times New Roman" w:hAnsi="Times New Roman" w:eastAsia="方正仿宋_GBK" w:cs="Times New Roman"/>
          <w:color w:val="auto"/>
          <w:sz w:val="24"/>
          <w:highlight w:val="none"/>
        </w:rPr>
        <w:t xml:space="preserve">注：</w:t>
      </w:r>
      <w:r>
        <w:rPr>
          <w:rStyle w:val="785"/>
          <w:rFonts w:hint="eastAsia" w:ascii="Times New Roman" w:hAnsi="Times New Roman" w:eastAsia="方正仿宋_GBK" w:cs="Times New Roman"/>
          <w:color w:val="auto"/>
          <w:sz w:val="24"/>
          <w:szCs w:val="30"/>
          <w:highlight w:val="none"/>
        </w:rPr>
        <w:t xml:space="preserve">供应商应分项进行填报，表中表格行数可自行添加。</w:t>
      </w:r>
      <w:r/>
    </w:p>
    <w:p>
      <w:pPr>
        <w:pStyle w:val="850"/>
        <w:jc w:val="right"/>
        <w:rPr>
          <w:rStyle w:val="785"/>
          <w:rFonts w:ascii="仿宋_GB2312" w:hAnsi="仿宋_GB2312" w:eastAsia="宋体" w:cs="Times New Roman"/>
          <w:color w:val="auto"/>
          <w:sz w:val="24"/>
          <w:highlight w:val="none"/>
        </w:rPr>
      </w:pPr>
      <w:r>
        <w:rPr>
          <w:rFonts w:ascii="仿宋_GB2312" w:hAnsi="仿宋_GB2312" w:eastAsia="宋体" w:cs="Times New Roman"/>
          <w:color w:val="auto"/>
          <w:sz w:val="24"/>
          <w:highlight w:val="none"/>
        </w:rPr>
      </w:r>
      <w:r/>
    </w:p>
    <w:p>
      <w:pPr>
        <w:pStyle w:val="850"/>
        <w:jc w:val="right"/>
        <w:rPr>
          <w:rStyle w:val="785"/>
          <w:rFonts w:ascii="仿宋_GB2312" w:hAnsi="仿宋_GB2312" w:eastAsia="宋体" w:cs="Times New Roman"/>
          <w:color w:val="auto"/>
          <w:sz w:val="24"/>
          <w:highlight w:val="none"/>
        </w:rPr>
      </w:pPr>
      <w:r>
        <w:rPr>
          <w:rFonts w:ascii="仿宋_GB2312" w:hAnsi="仿宋_GB2312" w:eastAsia="宋体" w:cs="Times New Roman"/>
          <w:color w:val="auto"/>
          <w:sz w:val="24"/>
          <w:highlight w:val="none"/>
        </w:rPr>
      </w:r>
      <w:r/>
    </w:p>
    <w:p>
      <w:pPr>
        <w:pStyle w:val="850"/>
        <w:rPr>
          <w:rStyle w:val="785"/>
          <w:rFonts w:hint="eastAsia" w:ascii="Calibri" w:hAnsi="Calibri" w:eastAsia="宋体" w:cs="Times New Roman"/>
          <w:color w:val="auto"/>
          <w:highlight w:val="none"/>
        </w:rPr>
      </w:pPr>
      <w:r>
        <w:rPr>
          <w:rStyle w:val="785"/>
          <w:rFonts w:hint="eastAsia" w:ascii="宋体" w:hAnsi="宋体" w:eastAsia="宋体" w:cs="Times New Roman"/>
          <w:color w:val="auto"/>
          <w:sz w:val="24"/>
          <w:highlight w:val="none"/>
        </w:rPr>
        <w:t xml:space="preserve">单位名称：</w:t>
      </w:r>
      <w:r>
        <w:rPr>
          <w:rStyle w:val="785"/>
          <w:rFonts w:hint="eastAsia" w:ascii="宋体" w:hAnsi="宋体" w:eastAsia="宋体" w:cs="Times New Roman"/>
          <w:color w:val="auto"/>
          <w:sz w:val="24"/>
          <w:highlight w:val="none"/>
          <w:u w:val="single"/>
        </w:rPr>
        <w:t xml:space="preserve">             </w:t>
      </w:r>
      <w:r>
        <w:rPr>
          <w:rStyle w:val="785"/>
          <w:rFonts w:hint="eastAsia" w:ascii="宋体" w:hAnsi="宋体" w:eastAsia="宋体" w:cs="Times New Roman"/>
          <w:color w:val="auto"/>
          <w:sz w:val="24"/>
          <w:highlight w:val="none"/>
        </w:rPr>
        <w:t xml:space="preserve">（电子签章）</w:t>
      </w:r>
      <w:r/>
    </w:p>
    <w:p>
      <w:pPr>
        <w:pStyle w:val="1532"/>
        <w:spacing w:line="360" w:lineRule="auto"/>
        <w:shd w:val="clear" w:color="auto" w:fill="ffffff" w:themeFill="background1"/>
        <w:rPr>
          <w:rFonts w:hint="eastAsia"/>
          <w:color w:val="auto"/>
          <w:highlight w:val="none"/>
        </w:rPr>
      </w:pPr>
      <w:r>
        <w:rPr>
          <w:rStyle w:val="785"/>
          <w:rFonts w:ascii="Times New Roman" w:hAnsi="Times New Roman" w:eastAsia="Times New Roman" w:cs="Times New Roman"/>
          <w:color w:val="auto"/>
          <w:highlight w:val="none"/>
        </w:rPr>
        <w:br w:type="page" w:clear="all"/>
      </w:r>
      <w:bookmarkEnd w:id="126"/>
      <w:r/>
      <w:r/>
    </w:p>
    <w:p>
      <w:pPr>
        <w:pStyle w:val="777"/>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七、技术响应偏离表（技术参数响应）</w:t>
      </w:r>
      <w:r/>
    </w:p>
    <w:p>
      <w:pPr>
        <w:pStyle w:val="787"/>
        <w:rPr>
          <w:rFonts w:hint="eastAsia"/>
          <w:highlight w:val="none"/>
        </w:rPr>
      </w:pPr>
      <w:r>
        <w:rPr>
          <w:rFonts w:hint="eastAsia"/>
          <w:highlight w:val="none"/>
        </w:rPr>
      </w:r>
      <w:r/>
    </w:p>
    <w:tbl>
      <w:tblPr>
        <w:tblStyle w:val="786"/>
        <w:tblW w:w="0" w:type="auto"/>
        <w:tblInd w:w="-117" w:type="dxa"/>
        <w:tblLayout w:type="fixed"/>
        <w:tblCellMar>
          <w:left w:w="108" w:type="dxa"/>
          <w:top w:w="0" w:type="dxa"/>
          <w:right w:w="108" w:type="dxa"/>
          <w:bottom w:w="0" w:type="dxa"/>
        </w:tblCellMar>
        <w:tblLook w:val="04A0" w:firstRow="1" w:lastRow="0" w:firstColumn="1" w:lastColumn="0" w:noHBand="0" w:noVBand="1"/>
      </w:tblPr>
      <w:tblGrid>
        <w:gridCol w:w="2725"/>
        <w:gridCol w:w="2332"/>
        <w:gridCol w:w="1863"/>
        <w:gridCol w:w="2269"/>
      </w:tblGrid>
      <w:tr>
        <w:trPr>
          <w:trHeight w:val="665"/>
        </w:trPr>
        <w:tc>
          <w:tcPr>
            <w:tcBorders>
              <w:top w:val="single" w:color="000000" w:sz="8" w:space="0"/>
              <w:left w:val="single" w:color="000000" w:sz="8" w:space="0"/>
              <w:bottom w:val="single" w:color="000000" w:sz="8" w:space="0"/>
              <w:right w:val="single" w:color="000000" w:sz="8" w:space="0"/>
            </w:tcBorders>
            <w:tcW w:w="2725" w:type="dxa"/>
            <w:vAlign w:val="center"/>
            <w:textDirection w:val="lrTb"/>
            <w:noWrap w:val="false"/>
          </w:tcPr>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sz w:val="28"/>
                <w:highlight w:val="none"/>
              </w:rPr>
              <w:t xml:space="preserve">磋商文件内容</w:t>
            </w:r>
            <w:r/>
          </w:p>
        </w:tc>
        <w:tc>
          <w:tcPr>
            <w:tcBorders>
              <w:top w:val="single" w:color="000000" w:sz="8" w:space="0"/>
              <w:left w:val="none" w:color="000000" w:sz="4" w:space="0"/>
              <w:bottom w:val="single" w:color="000000" w:sz="8" w:space="0"/>
              <w:right w:val="single" w:color="000000" w:sz="8" w:space="0"/>
            </w:tcBorders>
            <w:tcW w:w="2332" w:type="dxa"/>
            <w:vAlign w:val="center"/>
            <w:textDirection w:val="lrTb"/>
            <w:noWrap w:val="false"/>
          </w:tcPr>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sz w:val="28"/>
                <w:highlight w:val="none"/>
              </w:rPr>
              <w:t xml:space="preserve">响应文件内容</w:t>
            </w:r>
            <w:r/>
          </w:p>
        </w:tc>
        <w:tc>
          <w:tcPr>
            <w:tcBorders>
              <w:top w:val="single" w:color="000000" w:sz="8" w:space="0"/>
              <w:left w:val="none" w:color="000000" w:sz="4" w:space="0"/>
              <w:bottom w:val="single" w:color="000000" w:sz="8" w:space="0"/>
              <w:right w:val="single" w:color="000000" w:sz="8" w:space="0"/>
            </w:tcBorders>
            <w:tcW w:w="1863" w:type="dxa"/>
            <w:vAlign w:val="center"/>
            <w:textDirection w:val="lrTb"/>
            <w:noWrap w:val="false"/>
          </w:tcPr>
          <w:p>
            <w:pPr>
              <w:jc w:val="center"/>
              <w:spacing w:before="100" w:line="4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偏离情况（</w:t>
            </w:r>
            <w:r>
              <w:rPr>
                <w:rFonts w:ascii="仿宋" w:hAnsi="仿宋" w:eastAsia="仿宋" w:cs="仿宋"/>
                <w:b/>
                <w:color w:val="auto"/>
                <w:sz w:val="24"/>
                <w:highlight w:val="none"/>
              </w:rPr>
              <w:t xml:space="preserve">正偏离、负偏离、无偏离</w:t>
            </w:r>
            <w:r>
              <w:rPr>
                <w:rFonts w:hint="eastAsia" w:ascii="仿宋" w:hAnsi="仿宋" w:eastAsia="仿宋" w:cs="仿宋"/>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69" w:type="dxa"/>
            <w:vAlign w:val="center"/>
            <w:textDirection w:val="lrTb"/>
            <w:noWrap w:val="false"/>
          </w:tcPr>
          <w:p>
            <w:pPr>
              <w:jc w:val="center"/>
              <w:spacing w:before="100" w:line="559" w:lineRule="atLeas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 xml:space="preserve">偏离内容及说明</w:t>
            </w:r>
            <w:r/>
          </w:p>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25"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32"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69"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25"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32"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69"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25"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32"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69"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25"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32"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69"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25"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32"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69"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25"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32"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69"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25"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32"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69"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25"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32"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69"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25"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32"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69"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25"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32"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863"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69"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bl>
    <w:p>
      <w:pPr>
        <w:jc w:val="right"/>
        <w:spacing w:line="559" w:lineRule="atLeast"/>
        <w:rPr>
          <w:rFonts w:hint="eastAsia" w:ascii="宋体" w:hAnsi="宋体" w:cs="仿宋"/>
          <w:color w:val="auto"/>
          <w:highlight w:val="none"/>
        </w:rPr>
      </w:pPr>
      <w:r>
        <w:rPr>
          <w:rFonts w:hint="eastAsia" w:ascii="宋体" w:hAnsi="宋体" w:cs="仿宋"/>
          <w:color w:val="auto"/>
          <w:sz w:val="24"/>
          <w:highlight w:val="none"/>
        </w:rPr>
        <w:t xml:space="preserve">单位名称：</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rPr>
          <w:rFonts w:ascii="宋体" w:hAnsi="宋体" w:cs="仿宋"/>
          <w:color w:val="auto"/>
          <w:sz w:val="24"/>
          <w:highlight w:val="none"/>
        </w:rPr>
        <w:t xml:space="preserve">盖</w:t>
      </w:r>
      <w:r>
        <w:rPr>
          <w:rFonts w:hint="eastAsia" w:ascii="宋体" w:hAnsi="宋体" w:cs="仿宋"/>
          <w:color w:val="auto"/>
          <w:sz w:val="24"/>
          <w:highlight w:val="none"/>
        </w:rPr>
        <w:t xml:space="preserve">CA</w:t>
      </w:r>
      <w:r>
        <w:rPr>
          <w:rFonts w:ascii="宋体" w:hAnsi="宋体" w:cs="仿宋"/>
          <w:color w:val="auto"/>
          <w:sz w:val="24"/>
          <w:highlight w:val="none"/>
        </w:rPr>
        <w:t xml:space="preserve">电子公章）</w:t>
      </w:r>
      <w:r/>
    </w:p>
    <w:p>
      <w:pPr>
        <w:rPr>
          <w:rFonts w:hint="eastAsia" w:ascii="宋体" w:hAnsi="宋体" w:cs="仿宋"/>
          <w:color w:val="auto"/>
          <w:highlight w:val="none"/>
        </w:rPr>
      </w:pPr>
      <w:r>
        <w:rPr>
          <w:rFonts w:hint="eastAsia" w:ascii="宋体" w:hAnsi="宋体" w:cs="仿宋"/>
          <w:color w:val="auto"/>
          <w:highlight w:val="none"/>
        </w:rPr>
      </w:r>
      <w:r/>
    </w:p>
    <w:p>
      <w:pPr>
        <w:pStyle w:val="810"/>
        <w:ind w:firstLine="482"/>
        <w:jc w:val="both"/>
        <w:spacing w:before="0" w:beforeAutospacing="0" w:after="0" w:afterAutospacing="0" w:line="480" w:lineRule="exact"/>
        <w:widowControl w:val="off"/>
        <w:rPr>
          <w:rFonts w:cs="仿宋"/>
          <w:b/>
          <w:bCs/>
          <w:color w:val="auto"/>
          <w:szCs w:val="28"/>
          <w:highlight w:val="none"/>
        </w:rPr>
      </w:pPr>
      <w:r>
        <w:rPr>
          <w:rFonts w:hint="eastAsia" w:cs="仿宋"/>
          <w:b/>
          <w:bCs/>
          <w:color w:val="auto"/>
          <w:szCs w:val="28"/>
          <w:highlight w:val="none"/>
        </w:rPr>
        <w:t xml:space="preserve">备注：</w:t>
      </w:r>
      <w:r>
        <w:rPr>
          <w:rFonts w:hint="eastAsia" w:ascii="Times New Roman" w:hAnsi="Times New Roman" w:cs="仿宋"/>
          <w:color w:val="auto"/>
          <w:szCs w:val="28"/>
          <w:highlight w:val="none"/>
        </w:rPr>
        <w:t xml:space="preserve">1.</w:t>
      </w:r>
      <w:r>
        <w:rPr>
          <w:rFonts w:hint="eastAsia" w:ascii="Times New Roman" w:hAnsi="Times New Roman"/>
          <w:color w:val="auto"/>
          <w:szCs w:val="20"/>
          <w:highlight w:val="none"/>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none"/>
        </w:rPr>
        <w:t xml:space="preserve">作无效响应处理。</w:t>
      </w:r>
      <w:r/>
    </w:p>
    <w:p>
      <w:pPr>
        <w:pStyle w:val="810"/>
        <w:ind w:firstLine="480"/>
        <w:jc w:val="both"/>
        <w:spacing w:before="0" w:beforeAutospacing="0" w:after="0" w:afterAutospacing="0" w:line="480" w:lineRule="exact"/>
        <w:widowControl w:val="off"/>
        <w:rPr>
          <w:rFonts w:hint="eastAsia" w:ascii="Times New Roman" w:hAnsi="Times New Roman"/>
          <w:color w:val="auto"/>
          <w:szCs w:val="20"/>
          <w:highlight w:val="none"/>
        </w:rPr>
      </w:pPr>
      <w:r>
        <w:rPr>
          <w:rFonts w:hint="eastAsia" w:ascii="Times New Roman" w:hAnsi="Times New Roman" w:cs="仿宋"/>
          <w:color w:val="auto"/>
          <w:szCs w:val="28"/>
          <w:highlight w:val="none"/>
        </w:rPr>
        <w:t xml:space="preserve">2.对采购需求的其它非实质性要求，供应商按所投产品（服务）情况</w:t>
      </w:r>
      <w:r>
        <w:rPr>
          <w:rFonts w:ascii="Times New Roman" w:hAnsi="Times New Roman" w:cs="仿宋"/>
          <w:color w:val="auto"/>
          <w:szCs w:val="28"/>
          <w:highlight w:val="none"/>
        </w:rPr>
        <w:t xml:space="preserve">在此表中详细列出偏离情况（包括正偏离、负偏离、无偏离）并说明理由</w:t>
      </w:r>
      <w:r>
        <w:rPr>
          <w:rFonts w:hint="eastAsia" w:ascii="Times New Roman" w:hAnsi="Times New Roman" w:cs="仿宋"/>
          <w:color w:val="auto"/>
          <w:szCs w:val="28"/>
          <w:highlight w:val="none"/>
        </w:rPr>
        <w:t xml:space="preserve">；未列明的均视为未响应磋商文件要求</w:t>
      </w:r>
      <w:r>
        <w:rPr>
          <w:rFonts w:ascii="Times New Roman" w:hAnsi="Times New Roman" w:cs="仿宋"/>
          <w:color w:val="auto"/>
          <w:szCs w:val="28"/>
          <w:highlight w:val="none"/>
        </w:rPr>
        <w:t xml:space="preserve">。</w:t>
      </w:r>
      <w:r/>
    </w:p>
    <w:p>
      <w:pPr>
        <w:rPr>
          <w:rFonts w:hint="eastAsia" w:ascii="宋体" w:hAnsi="宋体" w:eastAsia="宋体" w:cs="宋体"/>
          <w:color w:val="auto"/>
          <w:highlight w:val="none"/>
        </w:rPr>
      </w:pPr>
      <w:r>
        <w:rPr>
          <w:rFonts w:ascii="黑体" w:hAnsi="黑体" w:eastAsia="黑体"/>
          <w:b/>
          <w:color w:val="auto"/>
          <w:sz w:val="32"/>
          <w:szCs w:val="32"/>
          <w:highlight w:val="none"/>
        </w:rPr>
        <w:br w:type="page" w:clear="all"/>
      </w:r>
      <w:r/>
    </w:p>
    <w:p>
      <w:pPr>
        <w:pStyle w:val="1450"/>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50"/>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lang w:val="en-US" w:eastAsia="zh-CN"/>
        </w:rPr>
        <w:t xml:space="preserve">八</w:t>
      </w:r>
      <w:r>
        <w:rPr>
          <w:rFonts w:hint="eastAsia" w:ascii="宋体" w:hAnsi="宋体" w:eastAsia="宋体" w:cs="宋体"/>
          <w:color w:val="auto"/>
          <w:highlight w:val="none"/>
        </w:rPr>
        <w:t xml:space="preserve">、项目经理</w:t>
      </w:r>
      <w:r/>
    </w:p>
    <w:p>
      <w:pPr>
        <w:pStyle w:val="1458"/>
        <w:jc w:val="center"/>
        <w:shd w:val="clear" w:color="auto" w:fill="ffffff" w:themeFill="background1"/>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拟选派项目经理简历表</w:t>
      </w:r>
      <w:r/>
    </w:p>
    <w:tbl>
      <w:tblPr>
        <w:tblStyle w:val="786"/>
        <w:tblW w:w="8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2337"/>
        <w:gridCol w:w="214"/>
        <w:gridCol w:w="1648"/>
      </w:tblGrid>
      <w:tr>
        <w:trPr>
          <w:jc w:val="center"/>
          <w:trHeight w:val="606"/>
        </w:trPr>
        <w:tc>
          <w:tcPr>
            <w:gridSpan w:val="2"/>
            <w:tcW w:w="1966" w:type="dxa"/>
            <w:vAlign w:val="center"/>
            <w:textDirection w:val="lrTb"/>
            <w:noWrap w:val="false"/>
          </w:tcPr>
          <w:p>
            <w:pPr>
              <w:pStyle w:val="1459"/>
              <w:jc w:val="center"/>
              <w:spacing w:line="44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p>
        </w:tc>
        <w:tc>
          <w:tcPr>
            <w:tcW w:w="1049" w:type="dxa"/>
            <w:vAlign w:val="center"/>
            <w:textDirection w:val="lrTb"/>
            <w:noWrap w:val="false"/>
          </w:tcPr>
          <w:p>
            <w:pPr>
              <w:pStyle w:val="1459"/>
              <w:jc w:val="center"/>
              <w:spacing w:line="44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gridSpan w:val="2"/>
            <w:tcW w:w="901" w:type="dxa"/>
            <w:vAlign w:val="center"/>
            <w:textDirection w:val="lrTb"/>
            <w:noWrap w:val="false"/>
          </w:tcPr>
          <w:p>
            <w:pPr>
              <w:pStyle w:val="1459"/>
              <w:jc w:val="center"/>
              <w:spacing w:line="44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年龄</w:t>
            </w:r>
            <w:r/>
          </w:p>
        </w:tc>
        <w:tc>
          <w:tcPr>
            <w:tcW w:w="768" w:type="dxa"/>
            <w:vAlign w:val="center"/>
            <w:textDirection w:val="lrTb"/>
            <w:noWrap w:val="false"/>
          </w:tcPr>
          <w:p>
            <w:pPr>
              <w:pStyle w:val="1459"/>
              <w:jc w:val="center"/>
              <w:spacing w:line="44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337" w:type="dxa"/>
            <w:vAlign w:val="center"/>
            <w:textDirection w:val="lrTb"/>
            <w:noWrap w:val="false"/>
          </w:tcPr>
          <w:p>
            <w:pPr>
              <w:pStyle w:val="1459"/>
              <w:jc w:val="center"/>
              <w:spacing w:line="44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gridSpan w:val="2"/>
            <w:tcW w:w="1862" w:type="dxa"/>
            <w:vAlign w:val="center"/>
            <w:textDirection w:val="lrTb"/>
            <w:noWrap w:val="false"/>
          </w:tcPr>
          <w:p>
            <w:pPr>
              <w:pStyle w:val="1459"/>
              <w:jc w:val="center"/>
              <w:spacing w:line="44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1005"/>
        </w:trPr>
        <w:tc>
          <w:tcPr>
            <w:gridSpan w:val="2"/>
            <w:tcW w:w="1966" w:type="dxa"/>
            <w:vAlign w:val="center"/>
            <w:textDirection w:val="lrTb"/>
            <w:noWrap w:val="false"/>
          </w:tcPr>
          <w:p>
            <w:pPr>
              <w:pStyle w:val="1459"/>
              <w:jc w:val="center"/>
              <w:spacing w:line="44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毕业学校</w:t>
            </w:r>
            <w:r/>
          </w:p>
        </w:tc>
        <w:tc>
          <w:tcPr>
            <w:gridSpan w:val="7"/>
            <w:tcW w:w="6917" w:type="dxa"/>
            <w:vAlign w:val="center"/>
            <w:textDirection w:val="lrTb"/>
            <w:noWrap w:val="false"/>
          </w:tcPr>
          <w:p>
            <w:pPr>
              <w:pStyle w:val="1459"/>
              <w:jc w:val="center"/>
              <w:spacing w:line="44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毕业于    学校      专业</w:t>
            </w:r>
            <w:r/>
          </w:p>
        </w:tc>
      </w:tr>
      <w:tr>
        <w:trPr>
          <w:jc w:val="center"/>
          <w:trHeight w:val="683"/>
        </w:trPr>
        <w:tc>
          <w:tcPr>
            <w:gridSpan w:val="9"/>
            <w:tcW w:w="8883" w:type="dxa"/>
            <w:vAlign w:val="center"/>
            <w:textDirection w:val="lrTb"/>
            <w:noWrap w:val="false"/>
          </w:tcPr>
          <w:p>
            <w:pPr>
              <w:pStyle w:val="1459"/>
              <w:jc w:val="center"/>
              <w:spacing w:line="44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主要主持的类似项目</w:t>
            </w:r>
            <w:r/>
          </w:p>
        </w:tc>
      </w:tr>
      <w:tr>
        <w:trPr>
          <w:jc w:val="center"/>
          <w:trHeight w:val="683"/>
        </w:trPr>
        <w:tc>
          <w:tcPr>
            <w:tcW w:w="856" w:type="dxa"/>
            <w:vAlign w:val="center"/>
            <w:textDirection w:val="lrTb"/>
            <w:noWrap w:val="false"/>
          </w:tcPr>
          <w:p>
            <w:pPr>
              <w:pStyle w:val="1459"/>
              <w:jc w:val="center"/>
              <w:spacing w:line="44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gridSpan w:val="3"/>
            <w:tcW w:w="2835" w:type="dxa"/>
            <w:vAlign w:val="center"/>
            <w:textDirection w:val="lrTb"/>
            <w:noWrap w:val="false"/>
          </w:tcPr>
          <w:p>
            <w:pPr>
              <w:pStyle w:val="1459"/>
              <w:jc w:val="center"/>
              <w:spacing w:line="44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gridSpan w:val="4"/>
            <w:tcW w:w="3544" w:type="dxa"/>
            <w:vAlign w:val="center"/>
            <w:textDirection w:val="lrTb"/>
            <w:noWrap w:val="false"/>
          </w:tcPr>
          <w:p>
            <w:pPr>
              <w:pStyle w:val="1459"/>
              <w:jc w:val="center"/>
              <w:spacing w:line="44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合同甲方</w:t>
            </w:r>
            <w:r/>
          </w:p>
        </w:tc>
        <w:tc>
          <w:tcPr>
            <w:tcW w:w="1648" w:type="dxa"/>
            <w:vAlign w:val="center"/>
            <w:textDirection w:val="lrTb"/>
            <w:noWrap w:val="false"/>
          </w:tcPr>
          <w:p>
            <w:pPr>
              <w:pStyle w:val="1459"/>
              <w:jc w:val="center"/>
              <w:spacing w:line="440" w:lineRule="exact"/>
              <w:shd w:val="clear" w:color="auto" w:fill="ffffff" w:themeFill="background1"/>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时间</w:t>
            </w:r>
            <w:r/>
          </w:p>
        </w:tc>
      </w:tr>
      <w:tr>
        <w:trPr>
          <w:jc w:val="center"/>
          <w:trHeight w:val="713"/>
        </w:trPr>
        <w:tc>
          <w:tcPr>
            <w:tcW w:w="856" w:type="dxa"/>
            <w:textDirection w:val="lrTb"/>
            <w:noWrap w:val="false"/>
          </w:tcPr>
          <w:p>
            <w:pPr>
              <w:pStyle w:val="1459"/>
              <w:jc w:val="center"/>
              <w:spacing w:line="36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p>
        </w:tc>
        <w:tc>
          <w:tcPr>
            <w:gridSpan w:val="3"/>
            <w:tcW w:w="2835" w:type="dxa"/>
            <w:textDirection w:val="lrTb"/>
            <w:noWrap w:val="false"/>
          </w:tcPr>
          <w:p>
            <w:pPr>
              <w:pStyle w:val="1459"/>
              <w:spacing w:line="360" w:lineRule="exact"/>
              <w:shd w:val="clear" w:color="auto" w:fill="ffffff" w:themeFill="background1"/>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4"/>
            <w:tcW w:w="3544" w:type="dxa"/>
            <w:textDirection w:val="lrTb"/>
            <w:noWrap w:val="false"/>
          </w:tcPr>
          <w:p>
            <w:pPr>
              <w:pStyle w:val="1459"/>
              <w:spacing w:line="360" w:lineRule="exact"/>
              <w:shd w:val="clear" w:color="auto" w:fill="ffffff" w:themeFill="background1"/>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dxa"/>
            <w:textDirection w:val="lrTb"/>
            <w:noWrap w:val="false"/>
          </w:tcPr>
          <w:p>
            <w:pPr>
              <w:pStyle w:val="1459"/>
              <w:spacing w:line="360" w:lineRule="exact"/>
              <w:shd w:val="clear" w:color="auto" w:fill="ffffff" w:themeFill="background1"/>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13"/>
        </w:trPr>
        <w:tc>
          <w:tcPr>
            <w:tcW w:w="856" w:type="dxa"/>
            <w:textDirection w:val="lrTb"/>
            <w:noWrap w:val="false"/>
          </w:tcPr>
          <w:p>
            <w:pPr>
              <w:pStyle w:val="1459"/>
              <w:jc w:val="center"/>
              <w:spacing w:line="36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p>
        </w:tc>
        <w:tc>
          <w:tcPr>
            <w:gridSpan w:val="3"/>
            <w:tcW w:w="2835" w:type="dxa"/>
            <w:textDirection w:val="lrTb"/>
            <w:noWrap w:val="false"/>
          </w:tcPr>
          <w:p>
            <w:pPr>
              <w:pStyle w:val="1459"/>
              <w:spacing w:line="360" w:lineRule="exact"/>
              <w:shd w:val="clear" w:color="auto" w:fill="ffffff" w:themeFill="background1"/>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4"/>
            <w:tcW w:w="3544" w:type="dxa"/>
            <w:textDirection w:val="lrTb"/>
            <w:noWrap w:val="false"/>
          </w:tcPr>
          <w:p>
            <w:pPr>
              <w:pStyle w:val="1459"/>
              <w:spacing w:line="360" w:lineRule="exact"/>
              <w:shd w:val="clear" w:color="auto" w:fill="ffffff" w:themeFill="background1"/>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dxa"/>
            <w:textDirection w:val="lrTb"/>
            <w:noWrap w:val="false"/>
          </w:tcPr>
          <w:p>
            <w:pPr>
              <w:pStyle w:val="1459"/>
              <w:spacing w:line="360" w:lineRule="exact"/>
              <w:shd w:val="clear" w:color="auto" w:fill="ffffff" w:themeFill="background1"/>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13"/>
        </w:trPr>
        <w:tc>
          <w:tcPr>
            <w:tcW w:w="856" w:type="dxa"/>
            <w:textDirection w:val="lrTb"/>
            <w:noWrap w:val="false"/>
          </w:tcPr>
          <w:p>
            <w:pPr>
              <w:pStyle w:val="1459"/>
              <w:jc w:val="center"/>
              <w:spacing w:line="36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p>
        </w:tc>
        <w:tc>
          <w:tcPr>
            <w:gridSpan w:val="3"/>
            <w:tcW w:w="2835" w:type="dxa"/>
            <w:textDirection w:val="lrTb"/>
            <w:noWrap w:val="false"/>
          </w:tcPr>
          <w:p>
            <w:pPr>
              <w:pStyle w:val="1459"/>
              <w:spacing w:line="360" w:lineRule="exact"/>
              <w:shd w:val="clear" w:color="auto" w:fill="ffffff" w:themeFill="background1"/>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4"/>
            <w:tcW w:w="3544" w:type="dxa"/>
            <w:textDirection w:val="lrTb"/>
            <w:noWrap w:val="false"/>
          </w:tcPr>
          <w:p>
            <w:pPr>
              <w:pStyle w:val="1459"/>
              <w:spacing w:line="360" w:lineRule="exact"/>
              <w:shd w:val="clear" w:color="auto" w:fill="ffffff" w:themeFill="background1"/>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dxa"/>
            <w:textDirection w:val="lrTb"/>
            <w:noWrap w:val="false"/>
          </w:tcPr>
          <w:p>
            <w:pPr>
              <w:pStyle w:val="1459"/>
              <w:spacing w:line="360" w:lineRule="exact"/>
              <w:shd w:val="clear" w:color="auto" w:fill="ffffff" w:themeFill="background1"/>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1460"/>
        <w:ind w:firstLine="398"/>
        <w:spacing w:line="460" w:lineRule="exact"/>
        <w:shd w:val="clear" w:color="auto" w:fill="ffffff" w:themeFill="background1"/>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注：1、</w:t>
      </w:r>
      <w:r>
        <w:rPr>
          <w:rFonts w:hint="eastAsia" w:ascii="宋体" w:hAnsi="宋体" w:eastAsia="宋体" w:cs="宋体"/>
          <w:color w:val="auto"/>
          <w:sz w:val="24"/>
          <w:szCs w:val="22"/>
          <w:highlight w:val="none"/>
          <w:lang w:eastAsia="zh-CN"/>
        </w:rPr>
        <w:t xml:space="preserve">响应文件</w:t>
      </w:r>
      <w:r>
        <w:rPr>
          <w:rFonts w:hint="eastAsia" w:ascii="宋体" w:hAnsi="宋体" w:eastAsia="宋体" w:cs="宋体"/>
          <w:color w:val="auto"/>
          <w:sz w:val="24"/>
          <w:szCs w:val="22"/>
          <w:highlight w:val="none"/>
        </w:rPr>
        <w:t xml:space="preserve">中需按要求提供项目经理有关证书证明。</w:t>
      </w:r>
      <w:r/>
    </w:p>
    <w:p>
      <w:pPr>
        <w:pStyle w:val="1460"/>
        <w:ind w:firstLine="879"/>
        <w:spacing w:line="460" w:lineRule="exact"/>
        <w:shd w:val="clear" w:color="auto" w:fill="ffffff" w:themeFill="background1"/>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2、如</w:t>
      </w:r>
      <w:r>
        <w:rPr>
          <w:rFonts w:hint="eastAsia" w:ascii="宋体" w:hAnsi="宋体" w:eastAsia="宋体" w:cs="宋体"/>
          <w:color w:val="auto"/>
          <w:sz w:val="24"/>
          <w:szCs w:val="22"/>
          <w:highlight w:val="none"/>
          <w:lang w:eastAsia="zh-CN"/>
        </w:rPr>
        <w:t xml:space="preserve">成交</w:t>
      </w:r>
      <w:r>
        <w:rPr>
          <w:rFonts w:hint="eastAsia" w:ascii="宋体" w:hAnsi="宋体" w:eastAsia="宋体" w:cs="宋体"/>
          <w:color w:val="auto"/>
          <w:sz w:val="24"/>
          <w:szCs w:val="22"/>
          <w:highlight w:val="none"/>
        </w:rPr>
        <w:t xml:space="preserve">，项目经理须</w:t>
      </w:r>
      <w:r>
        <w:rPr>
          <w:rFonts w:hint="eastAsia" w:ascii="宋体" w:hAnsi="宋体" w:eastAsia="宋体" w:cs="宋体"/>
          <w:color w:val="auto"/>
          <w:sz w:val="24"/>
          <w:szCs w:val="22"/>
          <w:highlight w:val="none"/>
          <w:lang w:val="en-US" w:eastAsia="zh-CN"/>
        </w:rPr>
        <w:t xml:space="preserve">按</w:t>
      </w:r>
      <w:r>
        <w:rPr>
          <w:rFonts w:hint="eastAsia" w:ascii="宋体" w:hAnsi="宋体" w:eastAsia="宋体" w:cs="宋体"/>
          <w:color w:val="auto"/>
          <w:sz w:val="24"/>
          <w:szCs w:val="22"/>
          <w:highlight w:val="none"/>
        </w:rPr>
        <w:t xml:space="preserve">本表承诺实施，不得更换。</w:t>
      </w:r>
      <w:r/>
    </w:p>
    <w:p>
      <w:pPr>
        <w:pStyle w:val="1450"/>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50"/>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50"/>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50"/>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50"/>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50"/>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50"/>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50"/>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50"/>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50"/>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50"/>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50"/>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50"/>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50"/>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50"/>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50"/>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450"/>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lang w:val="en-US" w:eastAsia="zh-CN"/>
        </w:rPr>
        <w:t xml:space="preserve">九</w:t>
      </w:r>
      <w:r>
        <w:rPr>
          <w:rFonts w:hint="eastAsia" w:ascii="宋体" w:hAnsi="宋体" w:eastAsia="宋体" w:cs="宋体"/>
          <w:color w:val="auto"/>
          <w:highlight w:val="none"/>
        </w:rPr>
        <w:t xml:space="preserve">、项目组人员</w:t>
      </w:r>
      <w:r/>
    </w:p>
    <w:p>
      <w:pPr>
        <w:pStyle w:val="945"/>
        <w:jc w:val="center"/>
        <w:spacing w:line="600" w:lineRule="exact"/>
        <w:shd w:val="clear" w:color="auto" w:fill="ffffff" w:themeFill="background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项目组人员一览表（人员素质）</w:t>
      </w:r>
      <w:r/>
    </w:p>
    <w:tbl>
      <w:tblPr>
        <w:tblStyle w:val="786"/>
        <w:tblpPr w:horzAnchor="margin" w:tblpXSpec="center" w:vertAnchor="text" w:tblpY="74" w:leftFromText="180" w:topFromText="0" w:rightFromText="180" w:bottomFromText="0"/>
        <w:tblW w:w="94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363"/>
        <w:gridCol w:w="1517"/>
        <w:gridCol w:w="1458"/>
        <w:gridCol w:w="995"/>
      </w:tblGrid>
      <w:tr>
        <w:trPr>
          <w:trHeight w:val="1301"/>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94"/>
              <w:jc w:val="center"/>
              <w:spacing w:before="100" w:beforeAutospacing="1" w:line="560" w:lineRule="exact"/>
              <w:shd w:val="clear" w:color="auto" w:fill="ffffff" w:themeFill="background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94"/>
              <w:jc w:val="center"/>
              <w:spacing w:before="100" w:beforeAutospacing="1" w:line="560" w:lineRule="exact"/>
              <w:shd w:val="clear" w:color="auto" w:fill="ffffff" w:themeFill="background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w:t>
            </w:r>
            <w:r/>
          </w:p>
          <w:p>
            <w:pPr>
              <w:pStyle w:val="1494"/>
              <w:jc w:val="center"/>
              <w:spacing w:before="100" w:beforeAutospacing="1" w:line="560" w:lineRule="exact"/>
              <w:shd w:val="clear" w:color="auto" w:fill="ffffff" w:themeFill="background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拟任职务</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94"/>
              <w:spacing w:before="100" w:beforeAutospacing="1" w:line="560" w:lineRule="exact"/>
              <w:shd w:val="clear" w:color="auto" w:fill="ffffff" w:themeFill="background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494"/>
              <w:jc w:val="center"/>
              <w:spacing w:before="100" w:beforeAutospacing="1" w:line="560" w:lineRule="exact"/>
              <w:shd w:val="clear" w:color="auto" w:fill="ffffff" w:themeFill="background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证书</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494"/>
              <w:jc w:val="center"/>
              <w:spacing w:before="100" w:beforeAutospacing="1" w:line="560" w:lineRule="exact"/>
              <w:shd w:val="clear" w:color="auto" w:fill="ffffff" w:themeFill="background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494"/>
              <w:jc w:val="center"/>
              <w:spacing w:before="100" w:beforeAutospacing="1" w:line="560" w:lineRule="exact"/>
              <w:shd w:val="clear" w:color="auto" w:fill="ffffff" w:themeFill="background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494"/>
              <w:jc w:val="center"/>
              <w:spacing w:before="100" w:beforeAutospacing="1" w:line="560" w:lineRule="exact"/>
              <w:shd w:val="clear" w:color="auto" w:fill="ffffff" w:themeFill="background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494"/>
              <w:jc w:val="center"/>
              <w:spacing w:line="560" w:lineRule="exact"/>
              <w:shd w:val="clear" w:color="auto" w:fill="ffffff" w:themeFill="background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210"/>
        <w:shd w:val="clear" w:color="auto" w:fill="ffffff" w:themeFill="background1"/>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494"/>
        <w:ind w:firstLine="398"/>
        <w:spacing w:line="460" w:lineRule="exact"/>
        <w:shd w:val="clear" w:color="auto" w:fill="ffffff" w:themeFill="background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 1、评分标准中涉及的项目组成员均可在本表中填报，相关证明资料附后</w:t>
      </w:r>
      <w:r>
        <w:rPr>
          <w:rFonts w:hint="eastAsia" w:ascii="宋体" w:hAnsi="宋体" w:cs="宋体"/>
          <w:b/>
          <w:color w:val="auto"/>
          <w:sz w:val="24"/>
          <w:highlight w:val="none"/>
          <w:lang w:eastAsia="zh-CN"/>
        </w:rPr>
        <w:t xml:space="preserve">，</w:t>
      </w:r>
      <w:r>
        <w:rPr>
          <w:rFonts w:hint="eastAsia" w:ascii="宋体" w:hAnsi="宋体" w:eastAsia="宋体" w:cs="宋体"/>
          <w:b/>
          <w:color w:val="auto"/>
          <w:sz w:val="24"/>
          <w:highlight w:val="none"/>
        </w:rPr>
        <w:t xml:space="preserve">其他人员无需在本表中明确，</w:t>
      </w:r>
      <w:r>
        <w:rPr>
          <w:rFonts w:hint="eastAsia" w:ascii="宋体" w:hAnsi="宋体" w:eastAsia="宋体" w:cs="宋体"/>
          <w:b/>
          <w:color w:val="auto"/>
          <w:sz w:val="24"/>
          <w:highlight w:val="none"/>
          <w:lang w:eastAsia="zh-CN"/>
        </w:rPr>
        <w:t xml:space="preserve">成交</w:t>
      </w:r>
      <w:r>
        <w:rPr>
          <w:rFonts w:hint="eastAsia" w:ascii="宋体" w:hAnsi="宋体" w:eastAsia="宋体" w:cs="宋体"/>
          <w:b/>
          <w:color w:val="auto"/>
          <w:sz w:val="24"/>
          <w:highlight w:val="none"/>
        </w:rPr>
        <w:t xml:space="preserve">后按采购需求要求进行配备，合同签订前报采购单位备案同意即可;2、如</w:t>
      </w:r>
      <w:r>
        <w:rPr>
          <w:rFonts w:hint="eastAsia" w:ascii="宋体" w:hAnsi="宋体" w:eastAsia="宋体" w:cs="宋体"/>
          <w:b/>
          <w:color w:val="auto"/>
          <w:sz w:val="24"/>
          <w:highlight w:val="none"/>
          <w:lang w:eastAsia="zh-CN"/>
        </w:rPr>
        <w:t xml:space="preserve">供应商成交</w:t>
      </w:r>
      <w:r>
        <w:rPr>
          <w:rFonts w:hint="eastAsia" w:ascii="宋体" w:hAnsi="宋体" w:eastAsia="宋体" w:cs="宋体"/>
          <w:b/>
          <w:color w:val="auto"/>
          <w:sz w:val="24"/>
          <w:highlight w:val="none"/>
        </w:rPr>
        <w:t xml:space="preserve">，项目组人员必须按本表中承诺人员操作，不得随意更换。</w:t>
      </w:r>
      <w:r/>
    </w:p>
    <w:p>
      <w:pPr>
        <w:ind w:firstLine="210"/>
        <w:shd w:val="clear" w:color="auto" w:fill="ffffff" w:themeFill="background1"/>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45"/>
        <w:ind w:firstLine="280"/>
        <w:spacing w:line="500" w:lineRule="exact"/>
        <w:shd w:val="clear" w:color="auto" w:fill="ffffff" w:themeFill="background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94"/>
        <w:spacing w:line="500" w:lineRule="exact"/>
        <w:shd w:val="clear" w:color="auto" w:fill="ffffff" w:themeFill="background1"/>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31" w:name="_Toc11176"/>
      <w:r>
        <w:rPr>
          <w:rFonts w:hint="eastAsia" w:ascii="宋体" w:hAnsi="宋体" w:cs="宋体"/>
          <w:b/>
          <w:color w:val="auto"/>
          <w:sz w:val="32"/>
          <w:highlight w:val="none"/>
          <w:lang w:val="en-US" w:eastAsia="zh-CN"/>
        </w:rPr>
        <w:t xml:space="preserve">十</w:t>
      </w:r>
      <w:r>
        <w:rPr>
          <w:rFonts w:hint="eastAsia" w:ascii="宋体" w:hAnsi="宋体" w:eastAsia="宋体" w:cs="宋体"/>
          <w:b/>
          <w:color w:val="auto"/>
          <w:sz w:val="32"/>
          <w:highlight w:val="none"/>
        </w:rPr>
        <w:t xml:space="preserve">、</w:t>
      </w:r>
      <w:bookmarkEnd w:id="131"/>
      <w:r>
        <w:rPr>
          <w:rFonts w:hint="eastAsia" w:ascii="宋体" w:hAnsi="宋体" w:eastAsia="宋体" w:cs="宋体"/>
          <w:b/>
          <w:color w:val="auto"/>
          <w:sz w:val="32"/>
          <w:highlight w:val="none"/>
        </w:rPr>
        <w:t xml:space="preserve">企业业绩</w:t>
      </w:r>
      <w:r/>
    </w:p>
    <w:p>
      <w:pPr>
        <w:pStyle w:val="1469"/>
        <w:jc w:val="center"/>
        <w:shd w:val="clear" w:color="auto" w:fill="ffffff" w:themeFill="background1"/>
        <w:rPr>
          <w:rFonts w:hint="eastAsia" w:ascii="宋体" w:hAnsi="宋体" w:eastAsia="宋体" w:cs="宋体"/>
          <w:bCs/>
          <w:color w:val="auto"/>
          <w:sz w:val="32"/>
          <w:szCs w:val="32"/>
          <w:highlight w:val="none"/>
        </w:rPr>
      </w:pPr>
      <w:r/>
      <w:bookmarkStart w:id="132" w:name="_Toc256000030"/>
      <w:r/>
      <w:bookmarkStart w:id="133" w:name="_Toc28140"/>
      <w:r>
        <w:rPr>
          <w:rFonts w:hint="eastAsia" w:ascii="宋体" w:hAnsi="宋体" w:eastAsia="宋体" w:cs="宋体"/>
          <w:bCs/>
          <w:color w:val="auto"/>
          <w:sz w:val="32"/>
          <w:szCs w:val="32"/>
          <w:highlight w:val="none"/>
        </w:rPr>
        <w:t xml:space="preserve">供应商自 年 日以来承担</w:t>
      </w:r>
      <w:r/>
    </w:p>
    <w:p>
      <w:pPr>
        <w:pStyle w:val="1469"/>
        <w:jc w:val="center"/>
        <w:shd w:val="clear" w:color="auto" w:fill="ffffff" w:themeFill="background1"/>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类似项目业绩一览表</w:t>
      </w:r>
      <w:r/>
    </w:p>
    <w:tbl>
      <w:tblPr>
        <w:tblStyle w:val="786"/>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509"/>
              <w:jc w:val="center"/>
              <w:spacing w:line="56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1509"/>
              <w:jc w:val="center"/>
              <w:spacing w:line="56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1509"/>
              <w:jc w:val="center"/>
              <w:spacing w:line="56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val="false"/>
          </w:tcPr>
          <w:p>
            <w:pPr>
              <w:pStyle w:val="1509"/>
              <w:jc w:val="center"/>
              <w:spacing w:line="56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1510"/>
        </w:trPr>
        <w:tc>
          <w:tcPr>
            <w:tcW w:w="1229" w:type="dxa"/>
            <w:textDirection w:val="lrTb"/>
            <w:noWrap w:val="false"/>
          </w:tcPr>
          <w:p>
            <w:pPr>
              <w:pStyle w:val="1509"/>
              <w:jc w:val="center"/>
              <w:spacing w:line="560" w:lineRule="exact"/>
              <w:shd w:val="clear" w:color="auto" w:fill="ffffff" w:themeFill="background1"/>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509"/>
              <w:jc w:val="center"/>
              <w:spacing w:line="560" w:lineRule="exact"/>
              <w:shd w:val="clear" w:color="auto" w:fill="ffffff" w:themeFill="background1"/>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509"/>
              <w:jc w:val="center"/>
              <w:spacing w:line="560" w:lineRule="exact"/>
              <w:shd w:val="clear" w:color="auto" w:fill="ffffff" w:themeFill="background1"/>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509"/>
              <w:jc w:val="center"/>
              <w:spacing w:line="560" w:lineRule="exact"/>
              <w:shd w:val="clear" w:color="auto" w:fill="ffffff" w:themeFill="background1"/>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1509"/>
              <w:jc w:val="center"/>
              <w:spacing w:line="560" w:lineRule="exact"/>
              <w:shd w:val="clear" w:color="auto" w:fill="ffffff" w:themeFill="background1"/>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509"/>
              <w:jc w:val="center"/>
              <w:spacing w:line="560" w:lineRule="exact"/>
              <w:shd w:val="clear" w:color="auto" w:fill="ffffff" w:themeFill="background1"/>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509"/>
              <w:jc w:val="center"/>
              <w:spacing w:line="560" w:lineRule="exact"/>
              <w:shd w:val="clear" w:color="auto" w:fill="ffffff" w:themeFill="background1"/>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509"/>
              <w:jc w:val="center"/>
              <w:spacing w:line="560" w:lineRule="exact"/>
              <w:shd w:val="clear" w:color="auto" w:fill="ffffff" w:themeFill="background1"/>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1509"/>
              <w:jc w:val="center"/>
              <w:spacing w:line="560" w:lineRule="exact"/>
              <w:shd w:val="clear" w:color="auto" w:fill="ffffff" w:themeFill="background1"/>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509"/>
              <w:jc w:val="center"/>
              <w:spacing w:line="560" w:lineRule="exact"/>
              <w:shd w:val="clear" w:color="auto" w:fill="ffffff" w:themeFill="background1"/>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509"/>
              <w:jc w:val="center"/>
              <w:spacing w:line="560" w:lineRule="exact"/>
              <w:shd w:val="clear" w:color="auto" w:fill="ffffff" w:themeFill="background1"/>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509"/>
              <w:jc w:val="center"/>
              <w:spacing w:line="560" w:lineRule="exact"/>
              <w:shd w:val="clear" w:color="auto" w:fill="ffffff" w:themeFill="background1"/>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textDirection w:val="lrTb"/>
            <w:noWrap w:val="false"/>
          </w:tcPr>
          <w:p>
            <w:pPr>
              <w:pStyle w:val="1509"/>
              <w:jc w:val="center"/>
              <w:spacing w:line="560" w:lineRule="exact"/>
              <w:shd w:val="clear" w:color="auto" w:fill="ffffff" w:themeFill="background1"/>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509"/>
              <w:jc w:val="center"/>
              <w:spacing w:line="560" w:lineRule="exact"/>
              <w:shd w:val="clear" w:color="auto" w:fill="ffffff" w:themeFill="background1"/>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509"/>
              <w:jc w:val="center"/>
              <w:spacing w:line="560" w:lineRule="exact"/>
              <w:shd w:val="clear" w:color="auto" w:fill="ffffff" w:themeFill="background1"/>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509"/>
              <w:jc w:val="center"/>
              <w:spacing w:line="560" w:lineRule="exact"/>
              <w:shd w:val="clear" w:color="auto" w:fill="ffffff" w:themeFill="background1"/>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1469"/>
        <w:ind w:firstLine="480"/>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注：请填写此表，并按要求上传业绩资料电子件。</w:t>
      </w:r>
      <w:bookmarkEnd w:id="132"/>
      <w:r/>
      <w:r/>
    </w:p>
    <w:p>
      <w:pPr>
        <w:shd w:val="clear" w:color="auto" w:fill="ffffff" w:themeFill="background1"/>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r>
      <w:r/>
    </w:p>
    <w:p>
      <w:pPr>
        <w:pStyle w:val="1499"/>
        <w:jc w:val="center"/>
        <w:spacing w:after="200" w:line="220" w:lineRule="atLeast"/>
        <w:shd w:val="clear" w:color="auto" w:fill="ffffff" w:themeFill="background1"/>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r>
      <w:r/>
    </w:p>
    <w:p>
      <w:pPr>
        <w:pStyle w:val="1499"/>
        <w:jc w:val="center"/>
        <w:spacing w:after="200" w:line="220" w:lineRule="atLeast"/>
        <w:shd w:val="clear" w:color="auto" w:fill="ffffff" w:themeFill="background1"/>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r>
      <w:r/>
    </w:p>
    <w:p>
      <w:pPr>
        <w:pStyle w:val="1499"/>
        <w:jc w:val="center"/>
        <w:spacing w:after="200" w:line="220" w:lineRule="atLeast"/>
        <w:shd w:val="clear" w:color="auto" w:fill="ffffff" w:themeFill="background1"/>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r>
      <w:r/>
    </w:p>
    <w:p>
      <w:pPr>
        <w:pStyle w:val="1498"/>
        <w:spacing w:after="200" w:line="500" w:lineRule="exact"/>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533"/>
        <w:shd w:val="clear" w:color="auto" w:fill="ffffff" w:themeFill="background1"/>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462"/>
        <w:shd w:val="clear" w:color="auto" w:fill="ffffff" w:themeFill="background1"/>
        <w:rPr>
          <w:rFonts w:hint="eastAsia" w:ascii="宋体" w:hAnsi="宋体" w:eastAsia="宋体" w:cs="宋体"/>
          <w:color w:val="auto"/>
          <w:highlight w:val="none"/>
        </w:rPr>
        <w:outlineLvl w:val="1"/>
      </w:pPr>
      <w:r>
        <w:rPr>
          <w:rFonts w:hint="eastAsia" w:ascii="宋体" w:hAnsi="宋体" w:eastAsia="宋体" w:cs="宋体"/>
          <w:color w:val="auto"/>
          <w:highlight w:val="none"/>
          <w:lang w:eastAsia="zh-CN"/>
        </w:rPr>
        <w:t xml:space="preserve">十</w:t>
      </w:r>
      <w:r>
        <w:rPr>
          <w:rFonts w:hint="eastAsia" w:ascii="宋体" w:hAnsi="宋体" w:eastAsia="宋体" w:cs="宋体"/>
          <w:color w:val="auto"/>
          <w:highlight w:val="none"/>
          <w:lang w:val="en-US" w:eastAsia="zh-CN"/>
        </w:rPr>
        <w:t xml:space="preserve">一</w:t>
      </w:r>
      <w:r>
        <w:rPr>
          <w:rFonts w:hint="eastAsia" w:ascii="宋体" w:hAnsi="宋体" w:eastAsia="宋体" w:cs="宋体"/>
          <w:color w:val="auto"/>
          <w:highlight w:val="none"/>
        </w:rPr>
        <w:t xml:space="preserve">、磋商所需其他材料</w:t>
      </w:r>
      <w:bookmarkEnd w:id="133"/>
      <w:r/>
      <w:r/>
    </w:p>
    <w:p>
      <w:pPr>
        <w:pStyle w:val="1471"/>
        <w:ind w:firstLine="560"/>
        <w:spacing w:line="360" w:lineRule="auto"/>
        <w:shd w:val="clear" w:color="auto"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请在此文档中增加磋商所需其他相关内容（包括资格要求、评分办法、采购需求中涉及的证件证明及其它供应商认为有必要提供的资料），如没有请将此空文档上传。</w:t>
      </w:r>
      <w:r/>
    </w:p>
    <w:p>
      <w:pPr>
        <w:ind w:left="0" w:right="0" w:firstLine="0"/>
        <w:jc w:val="left"/>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center"/>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center"/>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center"/>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center"/>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center"/>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center"/>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center"/>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center"/>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center"/>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center"/>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center"/>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center"/>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center"/>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center"/>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center"/>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center"/>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both"/>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both"/>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both"/>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both"/>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both"/>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both"/>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both"/>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both"/>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both"/>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both"/>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ind w:left="0" w:right="0" w:firstLine="0"/>
        <w:jc w:val="both"/>
        <w:spacing w:before="0" w:after="0"/>
        <w:shd w:val="clear" w:color="auto" w:fill="ffffff" w:themeFill="background1"/>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34" w:name="_Toc30733"/>
      <w:r/>
      <w:bookmarkStart w:id="135" w:name="_Toc5358"/>
      <w:r/>
      <w:bookmarkStart w:id="136" w:name="_Toc5588"/>
      <w:r>
        <w:rPr>
          <w:rFonts w:hint="eastAsia" w:ascii="宋体" w:hAnsi="宋体" w:eastAsia="宋体" w:cs="宋体"/>
          <w:b/>
          <w:color w:val="auto"/>
          <w:sz w:val="32"/>
          <w:highlight w:val="none"/>
        </w:rPr>
        <w:t xml:space="preserve">质疑函范本</w:t>
      </w:r>
      <w:bookmarkEnd w:id="134"/>
      <w:r/>
      <w:bookmarkEnd w:id="135"/>
      <w:r/>
      <w:bookmarkEnd w:id="136"/>
      <w:r/>
      <w:r/>
    </w:p>
    <w:p>
      <w:pPr>
        <w:spacing w:before="290"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37" w:name="_Toc9522"/>
      <w:r/>
      <w:bookmarkStart w:id="138" w:name="_Toc4190"/>
      <w:r/>
      <w:bookmarkStart w:id="139" w:name="_Toc4622"/>
      <w:r>
        <w:rPr>
          <w:rFonts w:hint="eastAsia" w:ascii="宋体" w:hAnsi="宋体" w:eastAsia="宋体" w:cs="宋体"/>
          <w:color w:val="auto"/>
          <w:sz w:val="24"/>
          <w:highlight w:val="none"/>
        </w:rPr>
        <w:t xml:space="preserve">一、质疑供应商基本信息</w:t>
      </w:r>
      <w:bookmarkEnd w:id="137"/>
      <w:r/>
      <w:bookmarkEnd w:id="138"/>
      <w:r/>
      <w:bookmarkEnd w:id="139"/>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质疑供应商：</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sz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授权代表：</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spacing w:line="85" w:lineRule="atLeast"/>
        <w:shd w:val="clear" w:color="auto"/>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地址： </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40" w:name="_Toc17229"/>
      <w:r/>
      <w:bookmarkStart w:id="141" w:name="_Toc1521"/>
      <w:r/>
      <w:bookmarkStart w:id="142" w:name="_Toc2705"/>
      <w:r>
        <w:rPr>
          <w:rFonts w:hint="eastAsia" w:ascii="宋体" w:hAnsi="宋体" w:eastAsia="宋体" w:cs="宋体"/>
          <w:color w:val="auto"/>
          <w:sz w:val="24"/>
          <w:highlight w:val="none"/>
        </w:rPr>
        <w:t xml:space="preserve">二、质疑项目基本情况</w:t>
      </w:r>
      <w:bookmarkEnd w:id="140"/>
      <w:r/>
      <w:bookmarkEnd w:id="141"/>
      <w:r/>
      <w:bookmarkEnd w:id="142"/>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质疑项目的名称：</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sz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质疑项目的编号：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包号：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采购人名称：</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采购文件获取日期：</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43" w:name="_Toc9698"/>
      <w:r/>
      <w:bookmarkStart w:id="144" w:name="_Toc16715"/>
      <w:r/>
      <w:bookmarkStart w:id="145" w:name="_Toc24576"/>
      <w:r>
        <w:rPr>
          <w:rFonts w:hint="eastAsia" w:ascii="宋体" w:hAnsi="宋体" w:eastAsia="宋体" w:cs="宋体"/>
          <w:color w:val="auto"/>
          <w:sz w:val="24"/>
          <w:highlight w:val="none"/>
        </w:rPr>
        <w:t xml:space="preserve">三、质疑事项具体内容</w:t>
      </w:r>
      <w:bookmarkEnd w:id="143"/>
      <w:r/>
      <w:bookmarkEnd w:id="144"/>
      <w:r/>
      <w:bookmarkEnd w:id="145"/>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质疑事项1：</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事实依据：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法律依据：</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质疑事项2</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46" w:name="_Toc18340"/>
      <w:r/>
      <w:bookmarkStart w:id="147" w:name="_Toc2000"/>
      <w:r/>
      <w:bookmarkStart w:id="148" w:name="_Toc32348"/>
      <w:r>
        <w:rPr>
          <w:rFonts w:hint="eastAsia" w:ascii="宋体" w:hAnsi="宋体" w:eastAsia="宋体" w:cs="宋体"/>
          <w:color w:val="auto"/>
          <w:sz w:val="24"/>
          <w:highlight w:val="none"/>
        </w:rPr>
        <w:t xml:space="preserve">四、与质疑事项相关的质疑请求</w:t>
      </w:r>
      <w:bookmarkEnd w:id="146"/>
      <w:r/>
      <w:bookmarkEnd w:id="147"/>
      <w:r/>
      <w:bookmarkEnd w:id="148"/>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请求：</w:t>
      </w:r>
      <w:r>
        <w:rPr>
          <w:rFonts w:hint="eastAsia" w:ascii="宋体" w:hAnsi="宋体" w:eastAsia="宋体" w:cs="宋体"/>
          <w:color w:val="auto"/>
          <w:sz w:val="24"/>
          <w:highlight w:val="none"/>
          <w:u w:val="single"/>
        </w:rPr>
        <w:t xml:space="preserve">                          </w:t>
      </w:r>
      <w:r/>
    </w:p>
    <w:p>
      <w:pPr>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签字(签章)：                   </w:t>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公章：                      </w:t>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w:t>
      </w:r>
      <w:r/>
    </w:p>
    <w:p>
      <w:pP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质疑函制作说明：</w:t>
      </w:r>
      <w:r/>
    </w:p>
    <w:p>
      <w:pPr>
        <w:ind w:firstLine="48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1.供应商提出质疑时，应提交质疑函和必要的证明材料。</w:t>
      </w:r>
      <w:r/>
    </w:p>
    <w:p>
      <w:pPr>
        <w:ind w:firstLine="48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3.质疑供应商若对项目的某一分包进行质疑，质疑函中应列明具体分包号。</w:t>
      </w:r>
      <w:r/>
    </w:p>
    <w:p>
      <w:pPr>
        <w:ind w:firstLine="48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4.质疑函的质疑事项应具体、明确，并有必要的事实依据和法律依据。</w:t>
      </w:r>
      <w:r/>
    </w:p>
    <w:p>
      <w:pPr>
        <w:ind w:firstLine="48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5.质疑函的质疑请求应与质疑事项相关。</w:t>
      </w:r>
      <w:r/>
    </w:p>
    <w:p>
      <w:pPr>
        <w:ind w:firstLine="480"/>
        <w:spacing w:line="400" w:lineRule="atLeast"/>
        <w:shd w:val="clear" w:color="auto"/>
        <w:rPr>
          <w:rFonts w:hint="eastAsia" w:ascii="宋体" w:hAnsi="宋体" w:eastAsia="宋体" w:cs="宋体"/>
          <w:color w:val="auto"/>
          <w:sz w:val="4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bookmarkEnd w:id="149"/>
      <w:r/>
      <w:r/>
    </w:p>
    <w:sectPr>
      <w:footerReference w:type="default" r:id="rId10"/>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monospace">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tabs>
        <w:tab w:val="left" w:pos="3715" w:leader="none"/>
        <w:tab w:val="center" w:pos="4153" w:leader="none"/>
        <w:tab w:val="center" w:pos="4933" w:leader="none"/>
        <w:tab w:val="center" w:pos="6979" w:leader="none"/>
        <w:tab w:val="clear" w:pos="7143"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a:effectLst/>
                    </wps:spPr>
                    <wps:txbx>
                      <w:txbxContent>
                        <w:p>
                          <w:pPr>
                            <w:pStyle w:val="798"/>
                            <w:tabs>
                              <w:tab w:val="center" w:pos="4153" w:leader="none"/>
                              <w:tab w:val="clear" w:pos="7143" w:leader="none"/>
                              <w:tab w:val="right" w:pos="8306"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798"/>
                      <w:tabs>
                        <w:tab w:val="center" w:pos="4153" w:leader="none"/>
                        <w:tab w:val="clear" w:pos="7143" w:leader="none"/>
                        <w:tab w:val="right" w:pos="8306"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98"/>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98"/>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4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bullet"/>
      <w:pStyle w:val="1323"/>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48"/>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 w:numId="7">
    <w:abstractNumId w:val="7"/>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5">
    <w:name w:val="Normal"/>
    <w:link w:val="1141"/>
    <w:uiPriority w:val="0"/>
    <w:qFormat/>
    <w:pPr>
      <w:jc w:val="both"/>
      <w:widowControl w:val="off"/>
    </w:pPr>
    <w:rPr>
      <w:rFonts w:hint="default" w:ascii="Calibri" w:hAnsi="Calibri" w:eastAsia="宋体" w:cs="Times New Roman"/>
      <w:sz w:val="21"/>
      <w:szCs w:val="22"/>
      <w:lang w:val="en-US" w:eastAsia="zh-CN" w:bidi="ar-SA"/>
    </w:rPr>
  </w:style>
  <w:style w:type="paragraph" w:styleId="776">
    <w:name w:val="Heading 1"/>
    <w:basedOn w:val="775"/>
    <w:next w:val="775"/>
    <w:link w:val="1515"/>
    <w:uiPriority w:val="9"/>
    <w:qFormat/>
    <w:pPr>
      <w:keepLines/>
      <w:keepNext/>
      <w:spacing w:before="480" w:after="200"/>
      <w:outlineLvl w:val="0"/>
    </w:pPr>
    <w:rPr>
      <w:rFonts w:ascii="Arial" w:hAnsi="Arial" w:eastAsia="Arial" w:cs="Arial"/>
      <w:sz w:val="40"/>
      <w:szCs w:val="40"/>
    </w:rPr>
  </w:style>
  <w:style w:type="paragraph" w:styleId="777">
    <w:name w:val="Heading 2"/>
    <w:basedOn w:val="775"/>
    <w:next w:val="787"/>
    <w:uiPriority w:val="9"/>
    <w:unhideWhenUsed/>
    <w:qFormat/>
    <w:pPr>
      <w:keepLines/>
      <w:keepNext/>
      <w:spacing w:before="360" w:after="200"/>
      <w:outlineLvl w:val="1"/>
    </w:pPr>
    <w:rPr>
      <w:rFonts w:ascii="Arial" w:hAnsi="Arial" w:eastAsia="Arial" w:cs="Arial"/>
      <w:sz w:val="34"/>
    </w:rPr>
  </w:style>
  <w:style w:type="paragraph" w:styleId="778">
    <w:name w:val="Heading 3"/>
    <w:basedOn w:val="775"/>
    <w:next w:val="775"/>
    <w:uiPriority w:val="9"/>
    <w:unhideWhenUsed/>
    <w:qFormat/>
    <w:pPr>
      <w:keepLines/>
      <w:keepNext/>
      <w:spacing w:before="320" w:after="200"/>
      <w:outlineLvl w:val="2"/>
    </w:pPr>
    <w:rPr>
      <w:rFonts w:ascii="Arial" w:hAnsi="Arial" w:eastAsia="Arial" w:cs="Arial"/>
      <w:sz w:val="30"/>
      <w:szCs w:val="30"/>
    </w:rPr>
  </w:style>
  <w:style w:type="paragraph" w:styleId="779">
    <w:name w:val="Heading 4"/>
    <w:basedOn w:val="775"/>
    <w:next w:val="775"/>
    <w:uiPriority w:val="9"/>
    <w:unhideWhenUsed/>
    <w:qFormat/>
    <w:pPr>
      <w:keepLines/>
      <w:keepNext/>
      <w:spacing w:before="320" w:after="200"/>
      <w:outlineLvl w:val="3"/>
    </w:pPr>
    <w:rPr>
      <w:rFonts w:ascii="Arial" w:hAnsi="Arial" w:eastAsia="Arial" w:cs="Arial"/>
      <w:b/>
      <w:bCs/>
      <w:sz w:val="26"/>
      <w:szCs w:val="26"/>
    </w:rPr>
  </w:style>
  <w:style w:type="paragraph" w:styleId="780">
    <w:name w:val="Heading 5"/>
    <w:basedOn w:val="775"/>
    <w:next w:val="775"/>
    <w:uiPriority w:val="9"/>
    <w:unhideWhenUsed/>
    <w:qFormat/>
    <w:pPr>
      <w:keepLines/>
      <w:keepNext/>
      <w:spacing w:before="320" w:after="200"/>
      <w:outlineLvl w:val="4"/>
    </w:pPr>
    <w:rPr>
      <w:rFonts w:ascii="Arial" w:hAnsi="Arial" w:eastAsia="Arial" w:cs="Arial"/>
      <w:b/>
      <w:bCs/>
      <w:sz w:val="24"/>
      <w:szCs w:val="24"/>
    </w:rPr>
  </w:style>
  <w:style w:type="paragraph" w:styleId="781">
    <w:name w:val="Heading 6"/>
    <w:basedOn w:val="775"/>
    <w:next w:val="775"/>
    <w:uiPriority w:val="9"/>
    <w:unhideWhenUsed/>
    <w:qFormat/>
    <w:pPr>
      <w:keepLines/>
      <w:keepNext/>
      <w:spacing w:before="320" w:after="200"/>
      <w:outlineLvl w:val="5"/>
    </w:pPr>
    <w:rPr>
      <w:rFonts w:ascii="Arial" w:hAnsi="Arial" w:eastAsia="Arial" w:cs="Arial"/>
      <w:b/>
      <w:bCs/>
      <w:sz w:val="22"/>
    </w:rPr>
  </w:style>
  <w:style w:type="paragraph" w:styleId="782">
    <w:name w:val="Heading 7"/>
    <w:basedOn w:val="775"/>
    <w:next w:val="775"/>
    <w:uiPriority w:val="9"/>
    <w:unhideWhenUsed/>
    <w:qFormat/>
    <w:pPr>
      <w:keepLines/>
      <w:keepNext/>
      <w:spacing w:before="320" w:after="200"/>
      <w:outlineLvl w:val="6"/>
    </w:pPr>
    <w:rPr>
      <w:rFonts w:ascii="Arial" w:hAnsi="Arial" w:eastAsia="Arial" w:cs="Arial"/>
      <w:b/>
      <w:bCs/>
      <w:i/>
      <w:iCs/>
      <w:sz w:val="22"/>
    </w:rPr>
  </w:style>
  <w:style w:type="paragraph" w:styleId="783">
    <w:name w:val="Heading 8"/>
    <w:basedOn w:val="775"/>
    <w:next w:val="775"/>
    <w:uiPriority w:val="9"/>
    <w:unhideWhenUsed/>
    <w:qFormat/>
    <w:pPr>
      <w:keepLines/>
      <w:keepNext/>
      <w:spacing w:before="320" w:after="200"/>
      <w:outlineLvl w:val="7"/>
    </w:pPr>
    <w:rPr>
      <w:rFonts w:ascii="Arial" w:hAnsi="Arial" w:eastAsia="Arial" w:cs="Arial"/>
      <w:i/>
      <w:iCs/>
      <w:sz w:val="22"/>
    </w:rPr>
  </w:style>
  <w:style w:type="paragraph" w:styleId="784">
    <w:name w:val="Heading 9"/>
    <w:basedOn w:val="775"/>
    <w:next w:val="775"/>
    <w:uiPriority w:val="9"/>
    <w:unhideWhenUsed/>
    <w:qFormat/>
    <w:pPr>
      <w:keepLines/>
      <w:keepNext/>
      <w:spacing w:before="320" w:after="200"/>
      <w:outlineLvl w:val="8"/>
    </w:pPr>
    <w:rPr>
      <w:rFonts w:ascii="Arial" w:hAnsi="Arial" w:eastAsia="Arial" w:cs="Arial"/>
      <w:i/>
      <w:iCs/>
      <w:szCs w:val="21"/>
    </w:rPr>
  </w:style>
  <w:style w:type="character" w:styleId="785" w:default="1">
    <w:name w:val="Default Paragraph Font"/>
    <w:uiPriority w:val="1"/>
    <w:semiHidden/>
    <w:unhideWhenUsed/>
    <w:qFormat/>
  </w:style>
  <w:style w:type="table" w:styleId="786" w:default="1">
    <w:name w:val="Normal Table"/>
    <w:uiPriority w:val="99"/>
    <w:semiHidden/>
    <w:unhideWhenUsed/>
    <w:qFormat/>
    <w:tblPr>
      <w:tblCellMar>
        <w:left w:w="108" w:type="dxa"/>
        <w:top w:w="0" w:type="dxa"/>
        <w:right w:w="108" w:type="dxa"/>
        <w:bottom w:w="0" w:type="dxa"/>
      </w:tblCellMar>
    </w:tblPr>
  </w:style>
  <w:style w:type="paragraph" w:styleId="787">
    <w:name w:val="Normal Indent"/>
    <w:basedOn w:val="775"/>
    <w:uiPriority w:val="0"/>
    <w:qFormat/>
    <w:pPr>
      <w:ind w:firstLine="420"/>
    </w:pPr>
    <w:rPr>
      <w:szCs w:val="21"/>
    </w:rPr>
  </w:style>
  <w:style w:type="paragraph" w:styleId="788">
    <w:name w:val="toc 7"/>
    <w:basedOn w:val="775"/>
    <w:next w:val="775"/>
    <w:uiPriority w:val="0"/>
    <w:qFormat/>
    <w:pPr>
      <w:ind w:left="1260"/>
      <w:jc w:val="left"/>
    </w:pPr>
    <w:rPr>
      <w:rFonts w:cs="Calibri"/>
      <w:sz w:val="18"/>
      <w:szCs w:val="18"/>
    </w:rPr>
  </w:style>
  <w:style w:type="paragraph" w:styleId="789">
    <w:name w:val="Caption"/>
    <w:basedOn w:val="775"/>
    <w:next w:val="77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0">
    <w:name w:val="annotation text"/>
    <w:basedOn w:val="775"/>
    <w:uiPriority w:val="99"/>
    <w:semiHidden/>
    <w:unhideWhenUsed/>
    <w:qFormat/>
    <w:pPr>
      <w:jc w:val="left"/>
    </w:pPr>
  </w:style>
  <w:style w:type="paragraph" w:styleId="791">
    <w:name w:val="Body Text"/>
    <w:basedOn w:val="775"/>
    <w:next w:val="787"/>
    <w:uiPriority w:val="1"/>
    <w:qFormat/>
    <w:pPr>
      <w:ind w:firstLine="600"/>
    </w:pPr>
    <w:rPr>
      <w:rFonts w:ascii="Times New Roman" w:hAnsi="Times New Roman" w:eastAsia="方正仿宋_GBK"/>
      <w:b/>
      <w:bCs/>
      <w:color w:val="ff0000"/>
      <w:sz w:val="30"/>
      <w:szCs w:val="30"/>
    </w:rPr>
  </w:style>
  <w:style w:type="paragraph" w:styleId="792">
    <w:name w:val="toc 5"/>
    <w:basedOn w:val="775"/>
    <w:next w:val="775"/>
    <w:uiPriority w:val="0"/>
    <w:qFormat/>
    <w:pPr>
      <w:ind w:left="840"/>
      <w:jc w:val="left"/>
    </w:pPr>
    <w:rPr>
      <w:rFonts w:cs="Calibri"/>
      <w:sz w:val="18"/>
      <w:szCs w:val="18"/>
    </w:rPr>
  </w:style>
  <w:style w:type="paragraph" w:styleId="793">
    <w:name w:val="toc 3"/>
    <w:basedOn w:val="775"/>
    <w:next w:val="775"/>
    <w:uiPriority w:val="39"/>
    <w:qFormat/>
    <w:pPr>
      <w:ind w:left="420"/>
      <w:jc w:val="left"/>
    </w:pPr>
    <w:rPr>
      <w:rFonts w:cs="Calibri"/>
      <w:i/>
      <w:iCs/>
      <w:sz w:val="20"/>
      <w:szCs w:val="20"/>
    </w:rPr>
  </w:style>
  <w:style w:type="paragraph" w:styleId="794">
    <w:name w:val="Plain Text"/>
    <w:basedOn w:val="775"/>
    <w:uiPriority w:val="0"/>
    <w:qFormat/>
    <w:rPr>
      <w:rFonts w:ascii="宋体" w:hAnsi="Courier New" w:cs="Courier New"/>
      <w:szCs w:val="21"/>
    </w:rPr>
  </w:style>
  <w:style w:type="paragraph" w:styleId="795">
    <w:name w:val="toc 8"/>
    <w:basedOn w:val="775"/>
    <w:next w:val="775"/>
    <w:uiPriority w:val="0"/>
    <w:qFormat/>
    <w:pPr>
      <w:ind w:left="1470"/>
      <w:jc w:val="left"/>
    </w:pPr>
    <w:rPr>
      <w:rFonts w:cs="Calibri"/>
      <w:sz w:val="18"/>
      <w:szCs w:val="18"/>
    </w:rPr>
  </w:style>
  <w:style w:type="paragraph" w:styleId="796">
    <w:name w:val="endnote text"/>
    <w:basedOn w:val="775"/>
    <w:uiPriority w:val="99"/>
    <w:semiHidden/>
    <w:unhideWhenUsed/>
    <w:qFormat/>
    <w:rPr>
      <w:sz w:val="20"/>
    </w:rPr>
  </w:style>
  <w:style w:type="paragraph" w:styleId="797">
    <w:name w:val="Balloon Text"/>
    <w:basedOn w:val="775"/>
    <w:link w:val="1514"/>
    <w:uiPriority w:val="99"/>
    <w:semiHidden/>
    <w:unhideWhenUsed/>
    <w:qFormat/>
    <w:rPr>
      <w:rFonts w:ascii="宋体"/>
      <w:sz w:val="18"/>
      <w:szCs w:val="18"/>
    </w:rPr>
  </w:style>
  <w:style w:type="paragraph" w:styleId="798">
    <w:name w:val="Footer"/>
    <w:basedOn w:val="775"/>
    <w:next w:val="799"/>
    <w:uiPriority w:val="99"/>
    <w:unhideWhenUsed/>
    <w:qFormat/>
    <w:pPr>
      <w:tabs>
        <w:tab w:val="center" w:pos="7143" w:leader="none"/>
        <w:tab w:val="right" w:pos="14287" w:leader="none"/>
      </w:tabs>
    </w:pPr>
  </w:style>
  <w:style w:type="paragraph" w:styleId="799" w:customStyle="1">
    <w:name w:val="TOC Heading1"/>
    <w:next w:val="775"/>
    <w:uiPriority w:val="0"/>
    <w:qFormat/>
    <w:rPr>
      <w:rFonts w:hint="default" w:ascii="Times New Roman" w:hAnsi="Times New Roman" w:eastAsia="宋体" w:cs="Times New Roman"/>
      <w:sz w:val="32"/>
      <w:lang w:val="en-US" w:eastAsia="zh-CN" w:bidi="ar-SA"/>
    </w:rPr>
  </w:style>
  <w:style w:type="paragraph" w:styleId="800">
    <w:name w:val="Header"/>
    <w:basedOn w:val="775"/>
    <w:uiPriority w:val="99"/>
    <w:unhideWhenUsed/>
    <w:qFormat/>
    <w:pPr>
      <w:tabs>
        <w:tab w:val="center" w:pos="7143" w:leader="none"/>
        <w:tab w:val="right" w:pos="14287" w:leader="none"/>
      </w:tabs>
    </w:pPr>
  </w:style>
  <w:style w:type="paragraph" w:styleId="801">
    <w:name w:val="toc 1"/>
    <w:basedOn w:val="775"/>
    <w:next w:val="775"/>
    <w:uiPriority w:val="39"/>
    <w:qFormat/>
    <w:pPr>
      <w:jc w:val="left"/>
      <w:spacing w:before="120" w:after="120"/>
    </w:pPr>
    <w:rPr>
      <w:rFonts w:cs="Calibri"/>
      <w:b/>
      <w:bCs/>
      <w:caps/>
      <w:sz w:val="20"/>
      <w:szCs w:val="20"/>
    </w:rPr>
  </w:style>
  <w:style w:type="paragraph" w:styleId="802">
    <w:name w:val="toc 4"/>
    <w:basedOn w:val="775"/>
    <w:next w:val="775"/>
    <w:uiPriority w:val="0"/>
    <w:qFormat/>
    <w:pPr>
      <w:ind w:left="630"/>
      <w:jc w:val="left"/>
    </w:pPr>
    <w:rPr>
      <w:rFonts w:cs="Calibri"/>
      <w:sz w:val="18"/>
      <w:szCs w:val="18"/>
    </w:rPr>
  </w:style>
  <w:style w:type="paragraph" w:styleId="803">
    <w:name w:val="Subtitle"/>
    <w:basedOn w:val="775"/>
    <w:next w:val="775"/>
    <w:uiPriority w:val="11"/>
    <w:qFormat/>
    <w:pPr>
      <w:spacing w:before="200" w:after="200"/>
    </w:pPr>
    <w:rPr>
      <w:sz w:val="24"/>
      <w:szCs w:val="24"/>
    </w:rPr>
  </w:style>
  <w:style w:type="paragraph" w:styleId="804">
    <w:name w:val="footnote text"/>
    <w:basedOn w:val="775"/>
    <w:uiPriority w:val="99"/>
    <w:semiHidden/>
    <w:unhideWhenUsed/>
    <w:qFormat/>
    <w:pPr>
      <w:spacing w:after="40"/>
    </w:pPr>
    <w:rPr>
      <w:sz w:val="18"/>
    </w:rPr>
  </w:style>
  <w:style w:type="paragraph" w:styleId="805">
    <w:name w:val="toc 6"/>
    <w:basedOn w:val="775"/>
    <w:next w:val="775"/>
    <w:uiPriority w:val="0"/>
    <w:qFormat/>
    <w:pPr>
      <w:ind w:left="1050"/>
      <w:jc w:val="left"/>
    </w:pPr>
    <w:rPr>
      <w:rFonts w:cs="Calibri"/>
      <w:sz w:val="18"/>
      <w:szCs w:val="18"/>
    </w:rPr>
  </w:style>
  <w:style w:type="paragraph" w:styleId="806">
    <w:name w:val="table of figures"/>
    <w:basedOn w:val="775"/>
    <w:next w:val="775"/>
    <w:uiPriority w:val="99"/>
    <w:unhideWhenUsed/>
    <w:qFormat/>
  </w:style>
  <w:style w:type="paragraph" w:styleId="807">
    <w:name w:val="toc 2"/>
    <w:basedOn w:val="775"/>
    <w:next w:val="775"/>
    <w:uiPriority w:val="39"/>
    <w:qFormat/>
    <w:pPr>
      <w:ind w:left="210"/>
      <w:jc w:val="left"/>
    </w:pPr>
    <w:rPr>
      <w:rFonts w:cs="Calibri"/>
      <w:smallCaps/>
      <w:sz w:val="20"/>
      <w:szCs w:val="20"/>
    </w:rPr>
  </w:style>
  <w:style w:type="paragraph" w:styleId="808">
    <w:name w:val="toc 9"/>
    <w:basedOn w:val="775"/>
    <w:next w:val="775"/>
    <w:uiPriority w:val="0"/>
    <w:qFormat/>
    <w:pPr>
      <w:ind w:left="1680"/>
      <w:jc w:val="left"/>
    </w:pPr>
    <w:rPr>
      <w:rFonts w:cs="Calibri"/>
      <w:sz w:val="18"/>
      <w:szCs w:val="18"/>
    </w:rPr>
  </w:style>
  <w:style w:type="paragraph" w:styleId="809">
    <w:name w:val="Body Text 2"/>
    <w:basedOn w:val="775"/>
    <w:next w:val="791"/>
    <w:uiPriority w:val="0"/>
    <w:qFormat/>
  </w:style>
  <w:style w:type="paragraph" w:styleId="810">
    <w:name w:val="Normal (Web)"/>
    <w:basedOn w:val="775"/>
    <w:uiPriority w:val="99"/>
    <w:qFormat/>
    <w:pPr>
      <w:jc w:val="left"/>
      <w:spacing w:before="100" w:beforeAutospacing="1" w:after="100" w:afterAutospacing="1"/>
      <w:widowControl/>
    </w:pPr>
    <w:rPr>
      <w:rFonts w:ascii="宋体" w:hAnsi="宋体" w:cs="宋体"/>
      <w:sz w:val="24"/>
      <w:szCs w:val="24"/>
    </w:rPr>
  </w:style>
  <w:style w:type="paragraph" w:styleId="811">
    <w:name w:val="Title"/>
    <w:basedOn w:val="775"/>
    <w:next w:val="775"/>
    <w:uiPriority w:val="10"/>
    <w:qFormat/>
    <w:pPr>
      <w:contextualSpacing/>
      <w:spacing w:before="300" w:after="200"/>
    </w:pPr>
    <w:rPr>
      <w:sz w:val="48"/>
      <w:szCs w:val="48"/>
    </w:rPr>
  </w:style>
  <w:style w:type="table" w:styleId="81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3">
    <w:name w:val="Strong"/>
    <w:basedOn w:val="785"/>
    <w:uiPriority w:val="22"/>
    <w:qFormat/>
  </w:style>
  <w:style w:type="character" w:styleId="814">
    <w:name w:val="endnote reference"/>
    <w:uiPriority w:val="99"/>
    <w:semiHidden/>
    <w:unhideWhenUsed/>
    <w:qFormat/>
    <w:rPr>
      <w:vertAlign w:val="superscript"/>
    </w:rPr>
  </w:style>
  <w:style w:type="character" w:styleId="815">
    <w:name w:val="FollowedHyperlink"/>
    <w:basedOn w:val="785"/>
    <w:uiPriority w:val="99"/>
    <w:semiHidden/>
    <w:unhideWhenUsed/>
    <w:qFormat/>
    <w:rPr>
      <w:color w:val="800080"/>
      <w:u w:val="none"/>
    </w:rPr>
  </w:style>
  <w:style w:type="character" w:styleId="816">
    <w:name w:val="Emphasis"/>
    <w:basedOn w:val="785"/>
    <w:uiPriority w:val="20"/>
    <w:qFormat/>
  </w:style>
  <w:style w:type="character" w:styleId="817">
    <w:name w:val="HTML Definition"/>
    <w:basedOn w:val="785"/>
    <w:uiPriority w:val="99"/>
    <w:semiHidden/>
    <w:unhideWhenUsed/>
    <w:qFormat/>
  </w:style>
  <w:style w:type="character" w:styleId="818">
    <w:name w:val="HTML Typewriter"/>
    <w:basedOn w:val="785"/>
    <w:uiPriority w:val="99"/>
    <w:semiHidden/>
    <w:unhideWhenUsed/>
    <w:qFormat/>
    <w:rPr>
      <w:rFonts w:ascii="monospace" w:hAnsi="monospace" w:eastAsia="monospace" w:cs="monospace"/>
      <w:sz w:val="20"/>
    </w:rPr>
  </w:style>
  <w:style w:type="character" w:styleId="819">
    <w:name w:val="HTML Acronym"/>
    <w:basedOn w:val="785"/>
    <w:uiPriority w:val="99"/>
    <w:semiHidden/>
    <w:unhideWhenUsed/>
    <w:qFormat/>
  </w:style>
  <w:style w:type="character" w:styleId="820">
    <w:name w:val="HTML Variable"/>
    <w:basedOn w:val="785"/>
    <w:uiPriority w:val="99"/>
    <w:semiHidden/>
    <w:unhideWhenUsed/>
    <w:qFormat/>
  </w:style>
  <w:style w:type="character" w:styleId="821">
    <w:name w:val="Hyperlink"/>
    <w:uiPriority w:val="99"/>
    <w:unhideWhenUsed/>
    <w:qFormat/>
    <w:rPr>
      <w:color w:val="0000ff" w:themeColor="hyperlink"/>
      <w:u w:val="single"/>
      <w14:textFill>
        <w14:solidFill>
          <w14:schemeClr w14:val="hlink"/>
        </w14:solidFill>
      </w14:textFill>
    </w:rPr>
  </w:style>
  <w:style w:type="character" w:styleId="822">
    <w:name w:val="HTML Code"/>
    <w:basedOn w:val="785"/>
    <w:uiPriority w:val="99"/>
    <w:semiHidden/>
    <w:unhideWhenUsed/>
    <w:qFormat/>
    <w:rPr>
      <w:rFonts w:hint="default" w:ascii="monospace" w:hAnsi="monospace" w:eastAsia="monospace" w:cs="monospace"/>
      <w:sz w:val="20"/>
    </w:rPr>
  </w:style>
  <w:style w:type="character" w:styleId="823">
    <w:name w:val="annotation reference"/>
    <w:basedOn w:val="785"/>
    <w:uiPriority w:val="99"/>
    <w:semiHidden/>
    <w:unhideWhenUsed/>
    <w:qFormat/>
    <w:rPr>
      <w:sz w:val="21"/>
      <w:szCs w:val="21"/>
    </w:rPr>
  </w:style>
  <w:style w:type="character" w:styleId="824">
    <w:name w:val="HTML Cite"/>
    <w:basedOn w:val="785"/>
    <w:uiPriority w:val="99"/>
    <w:semiHidden/>
    <w:unhideWhenUsed/>
    <w:qFormat/>
  </w:style>
  <w:style w:type="character" w:styleId="825">
    <w:name w:val="footnote reference"/>
    <w:uiPriority w:val="99"/>
    <w:unhideWhenUsed/>
    <w:qFormat/>
    <w:rPr>
      <w:vertAlign w:val="superscript"/>
    </w:rPr>
  </w:style>
  <w:style w:type="character" w:styleId="826">
    <w:name w:val="HTML Keyboard"/>
    <w:basedOn w:val="785"/>
    <w:uiPriority w:val="99"/>
    <w:semiHidden/>
    <w:unhideWhenUsed/>
    <w:qFormat/>
    <w:rPr>
      <w:rFonts w:hint="default" w:ascii="monospace" w:hAnsi="monospace" w:eastAsia="monospace" w:cs="monospace"/>
      <w:sz w:val="20"/>
    </w:rPr>
  </w:style>
  <w:style w:type="character" w:styleId="827">
    <w:name w:val="HTML Sample"/>
    <w:basedOn w:val="785"/>
    <w:uiPriority w:val="99"/>
    <w:semiHidden/>
    <w:unhideWhenUsed/>
    <w:qFormat/>
    <w:rPr>
      <w:rFonts w:hint="default" w:ascii="monospace" w:hAnsi="monospace" w:eastAsia="monospace" w:cs="monospace"/>
    </w:rPr>
  </w:style>
  <w:style w:type="paragraph" w:styleId="828" w:customStyle="1">
    <w:name w:val="文本块{858D7CFB-ED40-4347-BF05-701D383B685F}{858D7CFB-ED40-4347-BF05-701D383B685F}"/>
    <w:basedOn w:val="775"/>
    <w:uiPriority w:val="0"/>
    <w:qFormat/>
    <w:pPr>
      <w:ind w:left="256" w:right="6" w:firstLine="200"/>
    </w:pPr>
    <w:rPr>
      <w:rFonts w:eastAsia="仿宋_GB2312"/>
      <w:sz w:val="28"/>
    </w:rPr>
  </w:style>
  <w:style w:type="paragraph" w:styleId="829" w:customStyle="1">
    <w:name w:val="Normal1"/>
    <w:next w:val="778"/>
    <w:uiPriority w:val="0"/>
    <w:qFormat/>
    <w:rPr>
      <w:rFonts w:hint="default" w:ascii="Times New Roman" w:hAnsi="Times New Roman" w:eastAsia="Times New Roman" w:cs="Times New Roman"/>
      <w:sz w:val="24"/>
      <w:szCs w:val="24"/>
      <w:lang w:val="en-US" w:eastAsia="zh-CN" w:bidi="ar-SA"/>
    </w:rPr>
  </w:style>
  <w:style w:type="paragraph" w:styleId="830" w:customStyle="1">
    <w:name w:val="Normal_19"/>
    <w:basedOn w:val="831"/>
    <w:next w:val="841"/>
    <w:uiPriority w:val="0"/>
    <w:qFormat/>
    <w:rPr>
      <w:rFonts w:ascii="Times New Roman" w:hAnsi="Times New Roman" w:eastAsia="Times New Roman" w:cs="Times New Roman"/>
      <w:sz w:val="24"/>
      <w:szCs w:val="24"/>
      <w:lang w:val="en-US" w:eastAsia="zh-CN" w:bidi="ar-SA"/>
    </w:rPr>
  </w:style>
  <w:style w:type="paragraph" w:styleId="831" w:customStyle="1">
    <w:name w:val="正文_2_0"/>
    <w:basedOn w:val="832"/>
    <w:next w:val="833"/>
    <w:uiPriority w:val="0"/>
    <w:qFormat/>
    <w:pPr>
      <w:jc w:val="both"/>
      <w:widowControl w:val="off"/>
    </w:pPr>
    <w:rPr>
      <w:rFonts w:ascii="Calibri" w:hAnsi="Calibri" w:eastAsia="宋体" w:cs="Times New Roman"/>
      <w:sz w:val="21"/>
      <w:szCs w:val="22"/>
      <w:lang w:val="en-US" w:eastAsia="zh-CN" w:bidi="ar-SA"/>
    </w:rPr>
  </w:style>
  <w:style w:type="paragraph" w:styleId="832" w:customStyle="1">
    <w:name w:val="Normal_0_2"/>
    <w:uiPriority w:val="0"/>
    <w:qFormat/>
    <w:rPr>
      <w:rFonts w:hint="default" w:ascii="黑体" w:hAnsi="黑体" w:eastAsia="黑体" w:cs="Times New Roman"/>
      <w:b/>
      <w:sz w:val="32"/>
      <w:szCs w:val="24"/>
      <w:lang w:val="en-US" w:eastAsia="zh-CN" w:bidi="ar-SA"/>
    </w:rPr>
  </w:style>
  <w:style w:type="paragraph" w:styleId="833" w:customStyle="1">
    <w:name w:val="正文文本缩进_0"/>
    <w:basedOn w:val="834"/>
    <w:next w:val="835"/>
    <w:uiPriority w:val="0"/>
    <w:qFormat/>
    <w:pPr>
      <w:ind w:firstLine="225"/>
    </w:pPr>
    <w:rPr>
      <w:rFonts w:ascii="仿宋_GB2312" w:eastAsia="仿宋_GB2312"/>
      <w:sz w:val="32"/>
    </w:rPr>
  </w:style>
  <w:style w:type="paragraph" w:styleId="834" w:customStyle="1">
    <w:name w:val="正文_3_0"/>
    <w:next w:val="833"/>
    <w:uiPriority w:val="0"/>
    <w:qFormat/>
    <w:pPr>
      <w:jc w:val="both"/>
      <w:widowControl w:val="off"/>
    </w:pPr>
    <w:rPr>
      <w:rFonts w:hint="default" w:ascii="Times New Roman" w:hAnsi="Times New Roman" w:eastAsia="宋体" w:cs="Times New Roman"/>
      <w:sz w:val="21"/>
      <w:lang w:val="en-US" w:eastAsia="zh-CN" w:bidi="ar-SA"/>
    </w:rPr>
  </w:style>
  <w:style w:type="paragraph" w:styleId="835" w:customStyle="1">
    <w:name w:val="正文_2_0_0"/>
    <w:next w:val="836"/>
    <w:uiPriority w:val="0"/>
    <w:qFormat/>
    <w:pPr>
      <w:jc w:val="both"/>
      <w:widowControl w:val="off"/>
    </w:pPr>
    <w:rPr>
      <w:rFonts w:hint="default" w:ascii="Calibri" w:hAnsi="Calibri" w:eastAsia="宋体" w:cs="Times New Roman"/>
      <w:sz w:val="21"/>
      <w:szCs w:val="22"/>
      <w:lang w:val="en-US" w:eastAsia="zh-CN" w:bidi="ar-SA"/>
    </w:rPr>
  </w:style>
  <w:style w:type="paragraph" w:styleId="836" w:customStyle="1">
    <w:name w:val="UserStyle_0_1_0"/>
    <w:basedOn w:val="837"/>
    <w:uiPriority w:val="0"/>
    <w:qFormat/>
    <w:pPr>
      <w:ind w:left="420"/>
      <w:spacing w:beforeAutospacing="0" w:after="120" w:afterAutospacing="0"/>
    </w:pPr>
  </w:style>
  <w:style w:type="paragraph" w:styleId="837" w:customStyle="1">
    <w:name w:val="正文1_0_1_0"/>
    <w:basedOn w:val="838"/>
    <w:next w:val="836"/>
    <w:uiPriority w:val="0"/>
    <w:qFormat/>
    <w:pPr>
      <w:ind w:left="357" w:firstLine="420"/>
      <w:jc w:val="left"/>
      <w:spacing w:line="360" w:lineRule="auto"/>
      <w:widowControl/>
    </w:pPr>
    <w:rPr>
      <w:rFonts w:cs="Arial"/>
      <w:szCs w:val="20"/>
      <w:lang w:bidi="ar-SA"/>
    </w:rPr>
  </w:style>
  <w:style w:type="paragraph" w:styleId="838" w:customStyle="1">
    <w:name w:val="正文_16_0_1"/>
    <w:next w:val="839"/>
    <w:uiPriority w:val="0"/>
    <w:qFormat/>
    <w:pPr>
      <w:jc w:val="both"/>
      <w:widowControl w:val="off"/>
    </w:pPr>
    <w:rPr>
      <w:rFonts w:hint="default" w:ascii="Calibri" w:hAnsi="Calibri" w:eastAsia="宋体" w:cs="Times New Roman"/>
      <w:sz w:val="21"/>
      <w:szCs w:val="22"/>
      <w:lang w:val="en-US" w:eastAsia="zh-CN" w:bidi="ar-SA"/>
    </w:rPr>
  </w:style>
  <w:style w:type="paragraph" w:styleId="839" w:customStyle="1">
    <w:name w:val="标题 3_0_0_0"/>
    <w:basedOn w:val="840"/>
    <w:next w:val="838"/>
    <w:uiPriority w:val="0"/>
    <w:qFormat/>
    <w:pPr>
      <w:keepLines/>
      <w:keepNext/>
      <w:spacing w:before="260" w:after="260" w:line="413" w:lineRule="auto"/>
      <w:outlineLvl w:val="2"/>
    </w:pPr>
    <w:rPr>
      <w:rFonts w:ascii="Times New Roman" w:hAnsi="Times New Roman"/>
      <w:b/>
      <w:sz w:val="32"/>
      <w:szCs w:val="20"/>
    </w:rPr>
  </w:style>
  <w:style w:type="paragraph" w:styleId="840" w:customStyle="1">
    <w:name w:val="正文_3_1_1"/>
    <w:next w:val="839"/>
    <w:uiPriority w:val="0"/>
    <w:qFormat/>
    <w:pPr>
      <w:jc w:val="both"/>
      <w:widowControl w:val="off"/>
    </w:pPr>
    <w:rPr>
      <w:rFonts w:hint="default" w:ascii="Calibri" w:hAnsi="Calibri" w:eastAsia="宋体" w:cs="Times New Roman"/>
      <w:lang w:val="en-US" w:eastAsia="zh-CN" w:bidi="ar-SA"/>
    </w:rPr>
  </w:style>
  <w:style w:type="paragraph" w:styleId="841" w:customStyle="1">
    <w:name w:val="Body Text First Indent 2"/>
    <w:basedOn w:val="842"/>
    <w:next w:val="830"/>
    <w:uiPriority w:val="0"/>
    <w:qFormat/>
    <w:pPr>
      <w:ind w:left="200" w:firstLine="200"/>
      <w:spacing w:after="120"/>
    </w:pPr>
    <w:rPr>
      <w:rFonts w:ascii="Times New Roman" w:hAnsi="Times New Roman"/>
      <w:sz w:val="24"/>
      <w:szCs w:val="24"/>
    </w:rPr>
  </w:style>
  <w:style w:type="paragraph" w:styleId="842" w:customStyle="1">
    <w:name w:val="Body Text Indent"/>
    <w:basedOn w:val="830"/>
    <w:next w:val="830"/>
    <w:uiPriority w:val="0"/>
    <w:qFormat/>
    <w:pPr>
      <w:ind w:firstLine="225"/>
    </w:pPr>
    <w:rPr>
      <w:rFonts w:ascii="仿宋_GB2312" w:eastAsia="仿宋_GB2312"/>
      <w:sz w:val="32"/>
    </w:rPr>
  </w:style>
  <w:style w:type="paragraph" w:styleId="843" w:customStyle="1">
    <w:name w:val="UserStyle_0_1"/>
    <w:basedOn w:val="844"/>
    <w:uiPriority w:val="0"/>
    <w:qFormat/>
    <w:pPr>
      <w:ind w:left="420"/>
      <w:spacing w:beforeAutospacing="0" w:after="120" w:afterAutospacing="0"/>
    </w:pPr>
  </w:style>
  <w:style w:type="paragraph" w:styleId="844" w:customStyle="1">
    <w:name w:val="正文1_0_1"/>
    <w:basedOn w:val="830"/>
    <w:uiPriority w:val="0"/>
    <w:qFormat/>
    <w:pPr>
      <w:ind w:left="357" w:firstLine="420"/>
      <w:jc w:val="left"/>
      <w:spacing w:line="360" w:lineRule="auto"/>
      <w:widowControl/>
    </w:pPr>
    <w:rPr>
      <w:rFonts w:cs="Arial"/>
      <w:szCs w:val="20"/>
      <w:lang w:bidi="ar-SA"/>
    </w:rPr>
  </w:style>
  <w:style w:type="paragraph" w:styleId="845" w:customStyle="1">
    <w:name w:val="正文_16_0"/>
    <w:basedOn w:val="846"/>
    <w:next w:val="851"/>
    <w:uiPriority w:val="0"/>
    <w:qFormat/>
  </w:style>
  <w:style w:type="paragraph" w:styleId="846" w:customStyle="1">
    <w:name w:val="正文_18"/>
    <w:next w:val="847"/>
    <w:uiPriority w:val="0"/>
    <w:qFormat/>
    <w:pPr>
      <w:jc w:val="both"/>
      <w:widowControl w:val="off"/>
    </w:pPr>
    <w:rPr>
      <w:rFonts w:hint="default" w:ascii="Calibri" w:hAnsi="Calibri" w:eastAsia="宋体" w:cs="Times New Roman"/>
      <w:sz w:val="21"/>
      <w:szCs w:val="22"/>
      <w:lang w:val="en-US" w:eastAsia="zh-CN" w:bidi="ar-SA"/>
    </w:rPr>
  </w:style>
  <w:style w:type="paragraph" w:styleId="847" w:customStyle="1">
    <w:name w:val="正文文本缩进_1"/>
    <w:basedOn w:val="846"/>
    <w:next w:val="848"/>
    <w:uiPriority w:val="0"/>
    <w:qFormat/>
    <w:pPr>
      <w:ind w:firstLine="225"/>
    </w:pPr>
    <w:rPr>
      <w:rFonts w:ascii="仿宋_GB2312" w:eastAsia="仿宋_GB2312"/>
      <w:sz w:val="32"/>
    </w:rPr>
  </w:style>
  <w:style w:type="paragraph" w:styleId="848" w:customStyle="1">
    <w:name w:val="正文首行缩进 2_1"/>
    <w:basedOn w:val="847"/>
    <w:next w:val="849"/>
    <w:uiPriority w:val="0"/>
    <w:qFormat/>
    <w:pPr>
      <w:ind w:left="200" w:firstLine="200"/>
      <w:spacing w:after="120"/>
    </w:pPr>
    <w:rPr>
      <w:rFonts w:ascii="Times New Roman" w:hAnsi="Times New Roman"/>
      <w:sz w:val="24"/>
      <w:szCs w:val="24"/>
    </w:rPr>
  </w:style>
  <w:style w:type="paragraph" w:styleId="849" w:customStyle="1">
    <w:name w:val="xl53_0"/>
    <w:next w:val="850"/>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850"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851" w:customStyle="1">
    <w:name w:val="标题 3_0_0"/>
    <w:basedOn w:val="852"/>
    <w:next w:val="845"/>
    <w:uiPriority w:val="0"/>
    <w:qFormat/>
    <w:pPr>
      <w:keepLines/>
      <w:keepNext/>
      <w:spacing w:before="260" w:after="260" w:line="413" w:lineRule="auto"/>
      <w:outlineLvl w:val="2"/>
    </w:pPr>
    <w:rPr>
      <w:rFonts w:ascii="Times New Roman" w:hAnsi="Times New Roman"/>
      <w:b/>
      <w:sz w:val="32"/>
      <w:szCs w:val="20"/>
    </w:rPr>
  </w:style>
  <w:style w:type="paragraph" w:styleId="852" w:customStyle="1">
    <w:name w:val="正文_3_1"/>
    <w:next w:val="851"/>
    <w:uiPriority w:val="0"/>
    <w:qFormat/>
    <w:pPr>
      <w:jc w:val="both"/>
      <w:widowControl w:val="off"/>
    </w:pPr>
    <w:rPr>
      <w:rFonts w:hint="default" w:ascii="Calibri" w:hAnsi="Calibri" w:eastAsia="宋体" w:cs="Times New Roman"/>
      <w:lang w:val="en-US" w:eastAsia="zh-CN" w:bidi="ar-SA"/>
    </w:rPr>
  </w:style>
  <w:style w:type="paragraph" w:styleId="853" w:customStyle="1">
    <w:name w:val="Body Text First Indent 21"/>
    <w:basedOn w:val="854"/>
    <w:next w:val="830"/>
    <w:uiPriority w:val="0"/>
    <w:qFormat/>
    <w:pPr>
      <w:ind w:left="200" w:firstLine="200"/>
      <w:spacing w:after="120"/>
    </w:pPr>
    <w:rPr>
      <w:rFonts w:ascii="Times New Roman" w:hAnsi="Times New Roman"/>
      <w:sz w:val="24"/>
      <w:szCs w:val="24"/>
    </w:rPr>
  </w:style>
  <w:style w:type="paragraph" w:styleId="854" w:customStyle="1">
    <w:name w:val="Body Text Indent1"/>
    <w:basedOn w:val="830"/>
    <w:next w:val="830"/>
    <w:uiPriority w:val="0"/>
    <w:qFormat/>
    <w:pPr>
      <w:ind w:firstLine="225"/>
    </w:pPr>
    <w:rPr>
      <w:rFonts w:ascii="仿宋_GB2312" w:eastAsia="仿宋_GB2312"/>
      <w:sz w:val="32"/>
    </w:rPr>
  </w:style>
  <w:style w:type="paragraph" w:styleId="855" w:customStyle="1">
    <w:name w:val="正文1"/>
    <w:next w:val="775"/>
    <w:uiPriority w:val="0"/>
    <w:qFormat/>
    <w:pPr>
      <w:jc w:val="both"/>
      <w:widowControl w:val="off"/>
    </w:pPr>
    <w:rPr>
      <w:rFonts w:hint="default" w:ascii="Times New Roman" w:hAnsi="Times New Roman" w:eastAsia="宋体" w:cs="Times New Roman"/>
      <w:szCs w:val="21"/>
      <w:lang w:val="en-US" w:eastAsia="zh-CN" w:bidi="ar-SA"/>
    </w:rPr>
  </w:style>
  <w:style w:type="paragraph" w:styleId="856" w:customStyle="1">
    <w:name w:val="脚注文本1"/>
    <w:basedOn w:val="775"/>
    <w:uiPriority w:val="0"/>
    <w:qFormat/>
    <w:pPr>
      <w:jc w:val="left"/>
    </w:pPr>
    <w:rPr>
      <w:rFonts w:ascii="宋体"/>
      <w:bCs/>
      <w:sz w:val="18"/>
      <w:szCs w:val="18"/>
    </w:rPr>
  </w:style>
  <w:style w:type="table" w:styleId="857" w:customStyle="1">
    <w:name w:val="Plain Table 1"/>
    <w:basedOn w:val="7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2"/>
    <w:basedOn w:val="78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3"/>
    <w:basedOn w:val="7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customStyle="1">
    <w:name w:val="Plain Table 4"/>
    <w:basedOn w:val="7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customStyle="1">
    <w:name w:val="Plain Table 5"/>
    <w:basedOn w:val="7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2" w:customStyle="1">
    <w:name w:val="Grid Table 1 Light"/>
    <w:basedOn w:val="78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3" w:customStyle="1">
    <w:name w:val="Grid Table 2"/>
    <w:basedOn w:val="7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4" w:customStyle="1">
    <w:name w:val="Grid Table 3"/>
    <w:basedOn w:val="7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basedOn w:val="78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5 Dark"/>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6 Colorful"/>
    <w:basedOn w:val="78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8" w:customStyle="1">
    <w:name w:val="Grid Table 7 Colorful"/>
    <w:basedOn w:val="78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1 Light"/>
    <w:basedOn w:val="78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2"/>
    <w:basedOn w:val="78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3"/>
    <w:basedOn w:val="7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w:basedOn w:val="7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5 Dark"/>
    <w:basedOn w:val="78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6 Colorful"/>
    <w:basedOn w:val="78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5" w:customStyle="1">
    <w:name w:val="List Table 7 Colorful"/>
    <w:basedOn w:val="78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6" w:customStyle="1">
    <w:name w:val="TOC Heading"/>
    <w:uiPriority w:val="39"/>
    <w:unhideWhenUsed/>
    <w:qFormat/>
    <w:rPr>
      <w:rFonts w:hint="default" w:ascii="Times New Roman" w:hAnsi="Times New Roman" w:eastAsia="宋体" w:cs="Times New Roman"/>
    </w:rPr>
  </w:style>
  <w:style w:type="paragraph" w:styleId="877" w:customStyle="1">
    <w:name w:val="Body Text First Indent1"/>
    <w:basedOn w:val="878"/>
    <w:uiPriority w:val="99"/>
    <w:unhideWhenUsed/>
    <w:qFormat/>
    <w:pPr>
      <w:ind w:firstLine="420"/>
    </w:pPr>
  </w:style>
  <w:style w:type="paragraph" w:styleId="878" w:customStyle="1">
    <w:name w:val="Body Text1"/>
    <w:basedOn w:val="855"/>
    <w:uiPriority w:val="99"/>
    <w:unhideWhenUsed/>
    <w:qFormat/>
    <w:pPr>
      <w:spacing w:after="120"/>
    </w:pPr>
  </w:style>
  <w:style w:type="table" w:styleId="879" w:customStyle="1">
    <w:name w:val="无格式表格 11"/>
    <w:basedOn w:val="8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普通表格11"/>
    <w:uiPriority w:val="99"/>
    <w:unhideWhenUsed/>
    <w:qFormat/>
    <w:tblPr>
      <w:tblCellMar>
        <w:left w:w="0" w:type="dxa"/>
        <w:top w:w="0" w:type="dxa"/>
        <w:right w:w="0" w:type="dxa"/>
        <w:bottom w:w="0" w:type="dxa"/>
      </w:tblCellMar>
    </w:tblPr>
  </w:style>
  <w:style w:type="table" w:styleId="881" w:customStyle="1">
    <w:name w:val="无格式表格 21"/>
    <w:basedOn w:val="88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无格式表格 31"/>
    <w:basedOn w:val="8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customStyle="1">
    <w:name w:val="无格式表格 41"/>
    <w:basedOn w:val="8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customStyle="1">
    <w:name w:val="无格式表格 51"/>
    <w:basedOn w:val="8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customStyle="1">
    <w:name w:val="网格表 1 浅色1"/>
    <w:basedOn w:val="88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6" w:customStyle="1">
    <w:name w:val="网格表 21"/>
    <w:basedOn w:val="8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7" w:customStyle="1">
    <w:name w:val="网格表 31"/>
    <w:basedOn w:val="8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网格表 41"/>
    <w:basedOn w:val="88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customStyle="1">
    <w:name w:val="网格表 5 深色1"/>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0" w:customStyle="1">
    <w:name w:val="网格表 6 彩色1"/>
    <w:basedOn w:val="88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1" w:customStyle="1">
    <w:name w:val="网格表 7 彩色1"/>
    <w:basedOn w:val="88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清单表 1 浅色1"/>
    <w:basedOn w:val="88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清单表 21"/>
    <w:basedOn w:val="88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4" w:customStyle="1">
    <w:name w:val="清单表 31"/>
    <w:basedOn w:val="8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清单表 41"/>
    <w:basedOn w:val="8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清单表 5 深色1"/>
    <w:basedOn w:val="88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清单表 6 彩色1"/>
    <w:basedOn w:val="88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8" w:customStyle="1">
    <w:name w:val="清单表 7 彩色1"/>
    <w:basedOn w:val="88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99" w:customStyle="1">
    <w:name w:val="TOC 标题1"/>
    <w:uiPriority w:val="39"/>
    <w:unhideWhenUsed/>
    <w:qFormat/>
    <w:rPr>
      <w:rFonts w:hint="default" w:ascii="Times New Roman" w:hAnsi="Times New Roman" w:eastAsia="宋体" w:cs="Times New Roman"/>
      <w:lang w:val="en-US" w:eastAsia="zh-CN" w:bidi="ar-SA"/>
    </w:rPr>
  </w:style>
  <w:style w:type="paragraph" w:styleId="900" w:customStyle="1">
    <w:name w:val="TOC 标题116"/>
    <w:uiPriority w:val="39"/>
    <w:unhideWhenUsed/>
    <w:qFormat/>
    <w:rPr>
      <w:rFonts w:hint="default" w:ascii="Times New Roman" w:hAnsi="Times New Roman" w:eastAsia="宋体" w:cs="Times New Roman"/>
      <w:lang w:val="en-US" w:eastAsia="zh-CN" w:bidi="ar-SA"/>
    </w:rPr>
  </w:style>
  <w:style w:type="paragraph" w:styleId="901" w:customStyle="1">
    <w:name w:val="TOC 标题115"/>
    <w:uiPriority w:val="39"/>
    <w:unhideWhenUsed/>
    <w:qFormat/>
    <w:rPr>
      <w:rFonts w:hint="default" w:ascii="Times New Roman" w:hAnsi="Times New Roman" w:eastAsia="宋体" w:cs="Times New Roman"/>
      <w:lang w:val="en-US" w:eastAsia="zh-CN" w:bidi="ar-SA"/>
    </w:rPr>
  </w:style>
  <w:style w:type="paragraph" w:styleId="902" w:customStyle="1">
    <w:name w:val="TOC 标题114"/>
    <w:uiPriority w:val="39"/>
    <w:unhideWhenUsed/>
    <w:qFormat/>
    <w:rPr>
      <w:rFonts w:hint="default" w:ascii="Times New Roman" w:hAnsi="Times New Roman" w:eastAsia="宋体" w:cs="Times New Roman"/>
      <w:lang w:val="en-US" w:eastAsia="zh-CN" w:bidi="ar-SA"/>
    </w:rPr>
  </w:style>
  <w:style w:type="character" w:styleId="903" w:customStyle="1">
    <w:name w:val="标题 1 字符"/>
    <w:link w:val="904"/>
    <w:uiPriority w:val="0"/>
    <w:qFormat/>
    <w:rPr>
      <w:b/>
      <w:sz w:val="44"/>
    </w:rPr>
  </w:style>
  <w:style w:type="paragraph" w:styleId="904" w:customStyle="1">
    <w:name w:val="标题 11"/>
    <w:basedOn w:val="775"/>
    <w:next w:val="775"/>
    <w:link w:val="903"/>
    <w:uiPriority w:val="0"/>
    <w:qFormat/>
    <w:pPr>
      <w:keepLines/>
      <w:keepNext/>
      <w:spacing w:before="340" w:after="330" w:line="576" w:lineRule="auto"/>
      <w:outlineLvl w:val="0"/>
    </w:pPr>
    <w:rPr>
      <w:rFonts w:ascii="Times New Roman" w:hAnsi="Times New Roman"/>
      <w:b/>
      <w:sz w:val="44"/>
      <w:szCs w:val="20"/>
    </w:rPr>
  </w:style>
  <w:style w:type="character" w:styleId="905" w:customStyle="1">
    <w:name w:val="标题 2 字符"/>
    <w:link w:val="906"/>
    <w:uiPriority w:val="0"/>
    <w:qFormat/>
    <w:rPr>
      <w:rFonts w:ascii="Arial" w:hAnsi="Arial" w:eastAsia="黑体"/>
      <w:b/>
      <w:sz w:val="32"/>
    </w:rPr>
  </w:style>
  <w:style w:type="paragraph" w:styleId="906" w:customStyle="1">
    <w:name w:val="标题 21"/>
    <w:basedOn w:val="775"/>
    <w:next w:val="775"/>
    <w:link w:val="905"/>
    <w:uiPriority w:val="0"/>
    <w:qFormat/>
    <w:pPr>
      <w:keepLines/>
      <w:keepNext/>
      <w:spacing w:before="260" w:after="260" w:line="413" w:lineRule="auto"/>
      <w:outlineLvl w:val="1"/>
    </w:pPr>
    <w:rPr>
      <w:rFonts w:ascii="Arial" w:hAnsi="Arial" w:eastAsia="黑体"/>
      <w:b/>
      <w:sz w:val="32"/>
      <w:szCs w:val="20"/>
    </w:rPr>
  </w:style>
  <w:style w:type="character" w:styleId="907" w:customStyle="1">
    <w:name w:val="标题 3 字符"/>
    <w:link w:val="908"/>
    <w:uiPriority w:val="0"/>
    <w:qFormat/>
    <w:rPr>
      <w:b/>
      <w:sz w:val="32"/>
    </w:rPr>
  </w:style>
  <w:style w:type="paragraph" w:styleId="908" w:customStyle="1">
    <w:name w:val="标题 31"/>
    <w:basedOn w:val="775"/>
    <w:next w:val="775"/>
    <w:link w:val="907"/>
    <w:uiPriority w:val="0"/>
    <w:qFormat/>
    <w:pPr>
      <w:keepLines/>
      <w:keepNext/>
      <w:spacing w:before="260" w:after="260" w:line="413" w:lineRule="auto"/>
      <w:outlineLvl w:val="2"/>
    </w:pPr>
    <w:rPr>
      <w:rFonts w:ascii="Times New Roman" w:hAnsi="Times New Roman"/>
      <w:b/>
      <w:sz w:val="32"/>
      <w:szCs w:val="20"/>
    </w:rPr>
  </w:style>
  <w:style w:type="character" w:styleId="909" w:customStyle="1">
    <w:name w:val="标题 4 字符"/>
    <w:link w:val="910"/>
    <w:uiPriority w:val="0"/>
    <w:qFormat/>
    <w:rPr>
      <w:rFonts w:ascii="宋体" w:eastAsia="宋体"/>
      <w:color w:val="800000"/>
      <w:sz w:val="28"/>
      <w:lang w:val="en-US" w:eastAsia="zh-CN" w:bidi="ar-SA"/>
    </w:rPr>
  </w:style>
  <w:style w:type="paragraph" w:styleId="910" w:customStyle="1">
    <w:name w:val="标题 41"/>
    <w:basedOn w:val="775"/>
    <w:next w:val="775"/>
    <w:link w:val="909"/>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11">
    <w:name w:val="List Paragraph"/>
    <w:basedOn w:val="775"/>
    <w:uiPriority w:val="34"/>
    <w:qFormat/>
    <w:pPr>
      <w:contextualSpacing/>
      <w:ind w:left="720"/>
    </w:pPr>
  </w:style>
  <w:style w:type="paragraph" w:styleId="912">
    <w:name w:val="No Spacing"/>
    <w:uiPriority w:val="1"/>
    <w:qFormat/>
    <w:rPr>
      <w:rFonts w:hint="default" w:ascii="Times New Roman" w:hAnsi="Times New Roman" w:eastAsia="宋体" w:cs="Times New Roman"/>
      <w:lang w:val="en-US" w:eastAsia="zh-CN" w:bidi="ar-SA"/>
    </w:rPr>
  </w:style>
  <w:style w:type="paragraph" w:styleId="913">
    <w:name w:val="Quote"/>
    <w:basedOn w:val="775"/>
    <w:next w:val="775"/>
    <w:uiPriority w:val="29"/>
    <w:qFormat/>
    <w:pPr>
      <w:ind w:left="720" w:right="720"/>
    </w:pPr>
    <w:rPr>
      <w:i/>
    </w:rPr>
  </w:style>
  <w:style w:type="paragraph" w:styleId="914">
    <w:name w:val="Intense Quote"/>
    <w:basedOn w:val="775"/>
    <w:next w:val="7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15" w:customStyle="1">
    <w:name w:val="TOC 标题113"/>
    <w:uiPriority w:val="39"/>
    <w:unhideWhenUsed/>
    <w:qFormat/>
    <w:rPr>
      <w:rFonts w:hint="default" w:ascii="Times New Roman" w:hAnsi="Times New Roman" w:eastAsia="宋体" w:cs="Times New Roman"/>
      <w:lang w:val="en-US" w:eastAsia="zh-CN" w:bidi="ar-SA"/>
    </w:rPr>
  </w:style>
  <w:style w:type="paragraph" w:styleId="916" w:customStyle="1">
    <w:name w:val="标题 111"/>
    <w:basedOn w:val="775"/>
    <w:next w:val="775"/>
    <w:link w:val="926"/>
    <w:uiPriority w:val="9"/>
    <w:qFormat/>
    <w:pPr>
      <w:keepLines/>
      <w:keepNext/>
      <w:spacing w:before="480" w:after="200"/>
      <w:outlineLvl w:val="0"/>
    </w:pPr>
    <w:rPr>
      <w:rFonts w:ascii="Arial" w:hAnsi="Arial" w:eastAsia="Arial" w:cs="Arial"/>
      <w:sz w:val="40"/>
      <w:szCs w:val="40"/>
    </w:rPr>
  </w:style>
  <w:style w:type="paragraph" w:styleId="917" w:customStyle="1">
    <w:name w:val="标题 211"/>
    <w:basedOn w:val="775"/>
    <w:next w:val="775"/>
    <w:uiPriority w:val="9"/>
    <w:qFormat/>
    <w:pPr>
      <w:keepLines/>
      <w:keepNext/>
      <w:spacing w:before="360" w:after="200"/>
      <w:outlineLvl w:val="1"/>
    </w:pPr>
    <w:rPr>
      <w:rFonts w:ascii="Arial" w:hAnsi="Arial" w:eastAsia="Arial" w:cs="Arial"/>
      <w:sz w:val="34"/>
    </w:rPr>
  </w:style>
  <w:style w:type="paragraph" w:styleId="918" w:customStyle="1">
    <w:name w:val="标题 311"/>
    <w:basedOn w:val="775"/>
    <w:next w:val="775"/>
    <w:uiPriority w:val="9"/>
    <w:qFormat/>
    <w:pPr>
      <w:keepLines/>
      <w:keepNext/>
      <w:spacing w:before="320" w:after="200"/>
      <w:outlineLvl w:val="2"/>
    </w:pPr>
    <w:rPr>
      <w:rFonts w:ascii="Arial" w:hAnsi="Arial" w:eastAsia="Arial" w:cs="Arial"/>
      <w:sz w:val="30"/>
      <w:szCs w:val="30"/>
    </w:rPr>
  </w:style>
  <w:style w:type="paragraph" w:styleId="919" w:customStyle="1">
    <w:name w:val="标题 411"/>
    <w:basedOn w:val="775"/>
    <w:next w:val="775"/>
    <w:uiPriority w:val="9"/>
    <w:qFormat/>
    <w:pPr>
      <w:keepLines/>
      <w:keepNext/>
      <w:spacing w:before="320" w:after="200"/>
      <w:outlineLvl w:val="3"/>
    </w:pPr>
    <w:rPr>
      <w:rFonts w:ascii="Arial" w:hAnsi="Arial" w:eastAsia="Arial" w:cs="Arial"/>
      <w:b/>
      <w:bCs/>
      <w:sz w:val="26"/>
      <w:szCs w:val="26"/>
    </w:rPr>
  </w:style>
  <w:style w:type="paragraph" w:styleId="920" w:customStyle="1">
    <w:name w:val="标题 511"/>
    <w:basedOn w:val="775"/>
    <w:next w:val="775"/>
    <w:link w:val="927"/>
    <w:uiPriority w:val="9"/>
    <w:qFormat/>
    <w:pPr>
      <w:keepLines/>
      <w:keepNext/>
      <w:spacing w:before="320" w:after="200"/>
      <w:outlineLvl w:val="4"/>
    </w:pPr>
    <w:rPr>
      <w:rFonts w:ascii="Arial" w:hAnsi="Arial" w:eastAsia="Arial" w:cs="Arial"/>
      <w:b/>
      <w:bCs/>
      <w:sz w:val="24"/>
      <w:szCs w:val="24"/>
    </w:rPr>
  </w:style>
  <w:style w:type="paragraph" w:styleId="921" w:customStyle="1">
    <w:name w:val="标题 611"/>
    <w:basedOn w:val="775"/>
    <w:next w:val="775"/>
    <w:link w:val="928"/>
    <w:uiPriority w:val="9"/>
    <w:qFormat/>
    <w:pPr>
      <w:keepLines/>
      <w:keepNext/>
      <w:spacing w:before="320" w:after="200"/>
      <w:outlineLvl w:val="5"/>
    </w:pPr>
    <w:rPr>
      <w:rFonts w:ascii="Arial" w:hAnsi="Arial" w:eastAsia="Arial" w:cs="Arial"/>
      <w:b/>
      <w:bCs/>
      <w:sz w:val="22"/>
    </w:rPr>
  </w:style>
  <w:style w:type="paragraph" w:styleId="922" w:customStyle="1">
    <w:name w:val="标题 711"/>
    <w:basedOn w:val="775"/>
    <w:next w:val="775"/>
    <w:link w:val="929"/>
    <w:uiPriority w:val="9"/>
    <w:qFormat/>
    <w:pPr>
      <w:keepLines/>
      <w:keepNext/>
      <w:spacing w:before="320" w:after="200"/>
      <w:outlineLvl w:val="6"/>
    </w:pPr>
    <w:rPr>
      <w:rFonts w:ascii="Arial" w:hAnsi="Arial" w:eastAsia="Arial" w:cs="Arial"/>
      <w:b/>
      <w:bCs/>
      <w:i/>
      <w:iCs/>
      <w:sz w:val="22"/>
    </w:rPr>
  </w:style>
  <w:style w:type="paragraph" w:styleId="923" w:customStyle="1">
    <w:name w:val="标题 811"/>
    <w:basedOn w:val="775"/>
    <w:next w:val="775"/>
    <w:link w:val="930"/>
    <w:uiPriority w:val="9"/>
    <w:qFormat/>
    <w:pPr>
      <w:keepLines/>
      <w:keepNext/>
      <w:spacing w:before="320" w:after="200"/>
      <w:outlineLvl w:val="7"/>
    </w:pPr>
    <w:rPr>
      <w:rFonts w:ascii="Arial" w:hAnsi="Arial" w:eastAsia="Arial" w:cs="Arial"/>
      <w:i/>
      <w:iCs/>
      <w:sz w:val="22"/>
    </w:rPr>
  </w:style>
  <w:style w:type="paragraph" w:styleId="924" w:customStyle="1">
    <w:name w:val="标题 911"/>
    <w:basedOn w:val="775"/>
    <w:next w:val="775"/>
    <w:link w:val="931"/>
    <w:uiPriority w:val="9"/>
    <w:qFormat/>
    <w:pPr>
      <w:keepLines/>
      <w:keepNext/>
      <w:spacing w:before="320" w:after="200"/>
      <w:outlineLvl w:val="8"/>
    </w:pPr>
    <w:rPr>
      <w:rFonts w:ascii="Arial" w:hAnsi="Arial" w:eastAsia="Arial" w:cs="Arial"/>
      <w:i/>
      <w:iCs/>
      <w:szCs w:val="21"/>
    </w:rPr>
  </w:style>
  <w:style w:type="character" w:styleId="925" w:customStyle="1">
    <w:name w:val="默认段落字体11"/>
    <w:link w:val="775"/>
    <w:uiPriority w:val="1"/>
    <w:unhideWhenUsed/>
    <w:qFormat/>
  </w:style>
  <w:style w:type="character" w:styleId="926" w:customStyle="1">
    <w:name w:val="标题 1 字符1"/>
    <w:link w:val="916"/>
    <w:uiPriority w:val="9"/>
    <w:qFormat/>
    <w:rPr>
      <w:rFonts w:ascii="Arial" w:hAnsi="Arial" w:eastAsia="Arial" w:cs="Arial"/>
      <w:sz w:val="40"/>
      <w:szCs w:val="40"/>
    </w:rPr>
  </w:style>
  <w:style w:type="character" w:styleId="927" w:customStyle="1">
    <w:name w:val="标题 5 字符"/>
    <w:link w:val="920"/>
    <w:uiPriority w:val="9"/>
    <w:qFormat/>
    <w:rPr>
      <w:rFonts w:ascii="Arial" w:hAnsi="Arial" w:eastAsia="Arial" w:cs="Arial"/>
      <w:b/>
      <w:bCs/>
      <w:sz w:val="24"/>
      <w:szCs w:val="24"/>
    </w:rPr>
  </w:style>
  <w:style w:type="character" w:styleId="928" w:customStyle="1">
    <w:name w:val="标题 6 字符"/>
    <w:link w:val="921"/>
    <w:uiPriority w:val="9"/>
    <w:qFormat/>
    <w:rPr>
      <w:rFonts w:ascii="Arial" w:hAnsi="Arial" w:eastAsia="Arial" w:cs="Arial"/>
      <w:b/>
      <w:bCs/>
      <w:sz w:val="22"/>
      <w:szCs w:val="22"/>
    </w:rPr>
  </w:style>
  <w:style w:type="character" w:styleId="929" w:customStyle="1">
    <w:name w:val="标题 7 字符"/>
    <w:link w:val="922"/>
    <w:uiPriority w:val="9"/>
    <w:qFormat/>
    <w:rPr>
      <w:rFonts w:ascii="Arial" w:hAnsi="Arial" w:eastAsia="Arial" w:cs="Arial"/>
      <w:b/>
      <w:bCs/>
      <w:i/>
      <w:iCs/>
      <w:sz w:val="22"/>
      <w:szCs w:val="22"/>
    </w:rPr>
  </w:style>
  <w:style w:type="character" w:styleId="930" w:customStyle="1">
    <w:name w:val="标题 8 字符"/>
    <w:link w:val="923"/>
    <w:uiPriority w:val="9"/>
    <w:qFormat/>
    <w:rPr>
      <w:rFonts w:ascii="Arial" w:hAnsi="Arial" w:eastAsia="Arial" w:cs="Arial"/>
      <w:i/>
      <w:iCs/>
      <w:sz w:val="22"/>
      <w:szCs w:val="22"/>
    </w:rPr>
  </w:style>
  <w:style w:type="character" w:styleId="931" w:customStyle="1">
    <w:name w:val="标题 9 字符"/>
    <w:link w:val="924"/>
    <w:uiPriority w:val="9"/>
    <w:qFormat/>
    <w:rPr>
      <w:rFonts w:ascii="Arial" w:hAnsi="Arial" w:eastAsia="Arial" w:cs="Arial"/>
      <w:i/>
      <w:iCs/>
      <w:sz w:val="21"/>
      <w:szCs w:val="21"/>
    </w:rPr>
  </w:style>
  <w:style w:type="paragraph" w:styleId="932" w:customStyle="1">
    <w:name w:val="题注11"/>
    <w:basedOn w:val="775"/>
    <w:next w:val="775"/>
    <w:uiPriority w:val="35"/>
    <w:qFormat/>
    <w:pPr>
      <w:spacing w:line="276" w:lineRule="auto"/>
    </w:pPr>
    <w:rPr>
      <w:b/>
      <w:bCs/>
      <w:color w:val="4f81bd"/>
      <w:sz w:val="18"/>
      <w:szCs w:val="18"/>
    </w:rPr>
  </w:style>
  <w:style w:type="paragraph" w:styleId="933" w:customStyle="1">
    <w:name w:val="正文文本缩进11"/>
    <w:basedOn w:val="775"/>
    <w:link w:val="934"/>
    <w:uiPriority w:val="99"/>
    <w:unhideWhenUsed/>
    <w:qFormat/>
    <w:pPr>
      <w:ind w:left="420"/>
      <w:spacing w:after="120"/>
    </w:pPr>
  </w:style>
  <w:style w:type="character" w:styleId="934" w:customStyle="1">
    <w:name w:val="正文文本缩进 字符"/>
    <w:link w:val="933"/>
    <w:uiPriority w:val="99"/>
    <w:semiHidden/>
    <w:qFormat/>
    <w:rPr>
      <w:rFonts w:ascii="Calibri" w:hAnsi="Calibri"/>
      <w:sz w:val="21"/>
      <w:szCs w:val="22"/>
    </w:rPr>
  </w:style>
  <w:style w:type="paragraph" w:styleId="935" w:customStyle="1">
    <w:name w:val="尾注文本11"/>
    <w:basedOn w:val="775"/>
    <w:link w:val="936"/>
    <w:uiPriority w:val="99"/>
    <w:unhideWhenUsed/>
    <w:qFormat/>
    <w:rPr>
      <w:sz w:val="20"/>
    </w:rPr>
  </w:style>
  <w:style w:type="character" w:styleId="936" w:customStyle="1">
    <w:name w:val="尾注文本 字符"/>
    <w:link w:val="935"/>
    <w:uiPriority w:val="99"/>
    <w:qFormat/>
    <w:rPr>
      <w:sz w:val="20"/>
    </w:rPr>
  </w:style>
  <w:style w:type="paragraph" w:styleId="937" w:customStyle="1">
    <w:name w:val="页脚11"/>
    <w:basedOn w:val="775"/>
    <w:link w:val="938"/>
    <w:uiPriority w:val="99"/>
    <w:unhideWhenUsed/>
    <w:qFormat/>
    <w:pPr>
      <w:tabs>
        <w:tab w:val="center" w:pos="7143" w:leader="none"/>
        <w:tab w:val="right" w:pos="14287" w:leader="none"/>
      </w:tabs>
    </w:pPr>
  </w:style>
  <w:style w:type="character" w:styleId="938" w:customStyle="1">
    <w:name w:val="页脚 字符"/>
    <w:link w:val="937"/>
    <w:uiPriority w:val="99"/>
    <w:qFormat/>
  </w:style>
  <w:style w:type="paragraph" w:styleId="939" w:customStyle="1">
    <w:name w:val="页眉11"/>
    <w:basedOn w:val="775"/>
    <w:uiPriority w:val="99"/>
    <w:unhideWhenUsed/>
    <w:qFormat/>
    <w:pPr>
      <w:tabs>
        <w:tab w:val="center" w:pos="7143" w:leader="none"/>
        <w:tab w:val="right" w:pos="14287" w:leader="none"/>
      </w:tabs>
    </w:pPr>
  </w:style>
  <w:style w:type="paragraph" w:styleId="940" w:customStyle="1">
    <w:name w:val="副标题1"/>
    <w:basedOn w:val="775"/>
    <w:next w:val="775"/>
    <w:link w:val="941"/>
    <w:uiPriority w:val="11"/>
    <w:qFormat/>
    <w:pPr>
      <w:spacing w:before="200" w:after="200"/>
    </w:pPr>
    <w:rPr>
      <w:sz w:val="24"/>
      <w:szCs w:val="24"/>
    </w:rPr>
  </w:style>
  <w:style w:type="character" w:styleId="941" w:customStyle="1">
    <w:name w:val="副标题 字符"/>
    <w:link w:val="940"/>
    <w:uiPriority w:val="11"/>
    <w:qFormat/>
    <w:rPr>
      <w:sz w:val="24"/>
      <w:szCs w:val="24"/>
    </w:rPr>
  </w:style>
  <w:style w:type="paragraph" w:styleId="942" w:customStyle="1">
    <w:name w:val="脚注文本11"/>
    <w:basedOn w:val="775"/>
    <w:link w:val="943"/>
    <w:uiPriority w:val="99"/>
    <w:unhideWhenUsed/>
    <w:qFormat/>
    <w:pPr>
      <w:spacing w:after="40"/>
    </w:pPr>
    <w:rPr>
      <w:sz w:val="18"/>
    </w:rPr>
  </w:style>
  <w:style w:type="character" w:styleId="943" w:customStyle="1">
    <w:name w:val="脚注文本 字符"/>
    <w:link w:val="942"/>
    <w:uiPriority w:val="99"/>
    <w:qFormat/>
    <w:rPr>
      <w:sz w:val="18"/>
    </w:rPr>
  </w:style>
  <w:style w:type="paragraph" w:styleId="944" w:customStyle="1">
    <w:name w:val="图表目录12"/>
    <w:basedOn w:val="775"/>
    <w:next w:val="775"/>
    <w:uiPriority w:val="99"/>
    <w:unhideWhenUsed/>
    <w:qFormat/>
  </w:style>
  <w:style w:type="paragraph" w:styleId="945" w:customStyle="1">
    <w:name w:val="普通(网站)11"/>
    <w:basedOn w:val="775"/>
    <w:uiPriority w:val="99"/>
    <w:qFormat/>
    <w:rPr>
      <w:sz w:val="24"/>
    </w:rPr>
  </w:style>
  <w:style w:type="paragraph" w:styleId="946" w:customStyle="1">
    <w:name w:val="标题11"/>
    <w:basedOn w:val="775"/>
    <w:next w:val="775"/>
    <w:link w:val="947"/>
    <w:uiPriority w:val="10"/>
    <w:qFormat/>
    <w:pPr>
      <w:contextualSpacing/>
      <w:spacing w:before="300" w:after="200"/>
    </w:pPr>
    <w:rPr>
      <w:sz w:val="48"/>
      <w:szCs w:val="48"/>
    </w:rPr>
  </w:style>
  <w:style w:type="character" w:styleId="947" w:customStyle="1">
    <w:name w:val="标题 字符"/>
    <w:link w:val="946"/>
    <w:uiPriority w:val="10"/>
    <w:qFormat/>
    <w:rPr>
      <w:sz w:val="48"/>
      <w:szCs w:val="48"/>
    </w:rPr>
  </w:style>
  <w:style w:type="paragraph" w:styleId="948" w:customStyle="1">
    <w:name w:val="正文文本首行缩进 21"/>
    <w:basedOn w:val="933"/>
    <w:uiPriority w:val="0"/>
    <w:qFormat/>
    <w:pPr>
      <w:ind w:left="0" w:firstLine="420"/>
      <w:spacing w:after="0" w:line="360" w:lineRule="auto"/>
    </w:pPr>
    <w:rPr>
      <w:rFonts w:ascii="宋体" w:hAnsi="宋体"/>
      <w:szCs w:val="20"/>
    </w:rPr>
  </w:style>
  <w:style w:type="table" w:styleId="949" w:customStyle="1">
    <w:name w:val="网格型11"/>
    <w:uiPriority w:val="59"/>
    <w:qFormat/>
    <w:tblPr>
      <w:tblCellMar>
        <w:left w:w="0" w:type="dxa"/>
        <w:top w:w="0" w:type="dxa"/>
        <w:right w:w="0" w:type="dxa"/>
        <w:bottom w:w="0" w:type="dxa"/>
      </w:tblCellMar>
    </w:tblPr>
  </w:style>
  <w:style w:type="character" w:styleId="950" w:customStyle="1">
    <w:name w:val="要点11"/>
    <w:uiPriority w:val="22"/>
    <w:qFormat/>
    <w:rPr>
      <w:b/>
      <w:bCs/>
    </w:rPr>
  </w:style>
  <w:style w:type="character" w:styleId="951" w:customStyle="1">
    <w:name w:val="尾注引用11"/>
    <w:uiPriority w:val="99"/>
    <w:unhideWhenUsed/>
    <w:qFormat/>
    <w:rPr>
      <w:vertAlign w:val="superscript"/>
    </w:rPr>
  </w:style>
  <w:style w:type="character" w:styleId="952" w:customStyle="1">
    <w:name w:val="超链接11"/>
    <w:uiPriority w:val="99"/>
    <w:unhideWhenUsed/>
    <w:qFormat/>
    <w:rPr>
      <w:color w:val="0000ff"/>
      <w:u w:val="single"/>
    </w:rPr>
  </w:style>
  <w:style w:type="character" w:styleId="953" w:customStyle="1">
    <w:name w:val="脚注引用11"/>
    <w:uiPriority w:val="99"/>
    <w:unhideWhenUsed/>
    <w:qFormat/>
    <w:rPr>
      <w:vertAlign w:val="superscript"/>
    </w:rPr>
  </w:style>
  <w:style w:type="paragraph" w:styleId="954" w:customStyle="1">
    <w:name w:val="TOC 标题112"/>
    <w:uiPriority w:val="39"/>
    <w:unhideWhenUsed/>
    <w:qFormat/>
    <w:rPr>
      <w:rFonts w:hint="default" w:ascii="Times New Roman" w:hAnsi="Times New Roman" w:eastAsia="宋体" w:cs="Times New Roman"/>
      <w:lang w:val="en-US" w:eastAsia="zh-CN" w:bidi="ar-SA"/>
    </w:rPr>
  </w:style>
  <w:style w:type="character" w:styleId="955" w:customStyle="1">
    <w:name w:val="Heading 1 Char"/>
    <w:uiPriority w:val="9"/>
    <w:qFormat/>
    <w:rPr>
      <w:rFonts w:ascii="Arial" w:hAnsi="Arial" w:eastAsia="Arial" w:cs="Arial"/>
      <w:sz w:val="40"/>
      <w:szCs w:val="40"/>
    </w:rPr>
  </w:style>
  <w:style w:type="character" w:styleId="956" w:customStyle="1">
    <w:name w:val="Heading 5 Char"/>
    <w:uiPriority w:val="9"/>
    <w:qFormat/>
    <w:rPr>
      <w:rFonts w:ascii="Arial" w:hAnsi="Arial" w:eastAsia="Arial" w:cs="Arial"/>
      <w:b/>
      <w:bCs/>
      <w:sz w:val="24"/>
      <w:szCs w:val="24"/>
    </w:rPr>
  </w:style>
  <w:style w:type="character" w:styleId="957" w:customStyle="1">
    <w:name w:val="Heading 6 Char"/>
    <w:uiPriority w:val="9"/>
    <w:qFormat/>
    <w:rPr>
      <w:rFonts w:ascii="Arial" w:hAnsi="Arial" w:eastAsia="Arial" w:cs="Arial"/>
      <w:b/>
      <w:bCs/>
      <w:sz w:val="22"/>
      <w:szCs w:val="22"/>
    </w:rPr>
  </w:style>
  <w:style w:type="character" w:styleId="958" w:customStyle="1">
    <w:name w:val="Heading 7 Char"/>
    <w:uiPriority w:val="9"/>
    <w:qFormat/>
    <w:rPr>
      <w:rFonts w:ascii="Arial" w:hAnsi="Arial" w:eastAsia="Arial" w:cs="Arial"/>
      <w:b/>
      <w:bCs/>
      <w:i/>
      <w:iCs/>
      <w:sz w:val="22"/>
      <w:szCs w:val="22"/>
    </w:rPr>
  </w:style>
  <w:style w:type="character" w:styleId="959" w:customStyle="1">
    <w:name w:val="Heading 8 Char"/>
    <w:uiPriority w:val="9"/>
    <w:qFormat/>
    <w:rPr>
      <w:rFonts w:ascii="Arial" w:hAnsi="Arial" w:eastAsia="Arial" w:cs="Arial"/>
      <w:i/>
      <w:iCs/>
      <w:sz w:val="22"/>
      <w:szCs w:val="22"/>
    </w:rPr>
  </w:style>
  <w:style w:type="character" w:styleId="960" w:customStyle="1">
    <w:name w:val="Heading 9 Char"/>
    <w:uiPriority w:val="9"/>
    <w:qFormat/>
    <w:rPr>
      <w:rFonts w:ascii="Arial" w:hAnsi="Arial" w:eastAsia="Arial" w:cs="Arial"/>
      <w:i/>
      <w:iCs/>
      <w:sz w:val="21"/>
      <w:szCs w:val="21"/>
    </w:rPr>
  </w:style>
  <w:style w:type="character" w:styleId="961" w:customStyle="1">
    <w:name w:val="Title Char"/>
    <w:uiPriority w:val="10"/>
    <w:qFormat/>
    <w:rPr>
      <w:sz w:val="48"/>
      <w:szCs w:val="48"/>
    </w:rPr>
  </w:style>
  <w:style w:type="character" w:styleId="962" w:customStyle="1">
    <w:name w:val="Subtitle Char"/>
    <w:uiPriority w:val="11"/>
    <w:qFormat/>
    <w:rPr>
      <w:sz w:val="24"/>
      <w:szCs w:val="24"/>
    </w:rPr>
  </w:style>
  <w:style w:type="character" w:styleId="963" w:customStyle="1">
    <w:name w:val="Quote Char"/>
    <w:uiPriority w:val="29"/>
    <w:qFormat/>
    <w:rPr>
      <w:i/>
    </w:rPr>
  </w:style>
  <w:style w:type="character" w:styleId="964" w:customStyle="1">
    <w:name w:val="Intense Quote Char"/>
    <w:uiPriority w:val="30"/>
    <w:qFormat/>
    <w:rPr>
      <w:i/>
    </w:rPr>
  </w:style>
  <w:style w:type="character" w:styleId="965" w:customStyle="1">
    <w:name w:val="Caption Char"/>
    <w:uiPriority w:val="99"/>
    <w:qFormat/>
  </w:style>
  <w:style w:type="character" w:styleId="966" w:customStyle="1">
    <w:name w:val="Footnote Text Char"/>
    <w:uiPriority w:val="99"/>
    <w:qFormat/>
    <w:rPr>
      <w:sz w:val="18"/>
    </w:rPr>
  </w:style>
  <w:style w:type="character" w:styleId="967" w:customStyle="1">
    <w:name w:val="Endnote Text Char"/>
    <w:uiPriority w:val="99"/>
    <w:qFormat/>
    <w:rPr>
      <w:sz w:val="20"/>
    </w:rPr>
  </w:style>
  <w:style w:type="paragraph" w:styleId="968" w:customStyle="1">
    <w:name w:val="TOC 标题111"/>
    <w:uiPriority w:val="39"/>
    <w:unhideWhenUsed/>
    <w:qFormat/>
    <w:rPr>
      <w:rFonts w:hint="default" w:ascii="Times New Roman" w:hAnsi="Times New Roman" w:eastAsia="宋体" w:cs="Times New Roman"/>
      <w:lang w:val="en-US" w:eastAsia="zh-CN" w:bidi="ar-SA"/>
    </w:rPr>
  </w:style>
  <w:style w:type="paragraph" w:styleId="969" w:customStyle="1">
    <w:name w:val="无间隔1"/>
    <w:uiPriority w:val="1"/>
    <w:qFormat/>
    <w:rPr>
      <w:rFonts w:hint="default" w:ascii="Times New Roman" w:hAnsi="Times New Roman" w:eastAsia="宋体" w:cs="Times New Roman"/>
      <w:lang w:val="en-US" w:eastAsia="zh-CN" w:bidi="ar-SA"/>
    </w:rPr>
  </w:style>
  <w:style w:type="paragraph" w:styleId="970" w:customStyle="1">
    <w:name w:val="引用1"/>
    <w:basedOn w:val="775"/>
    <w:next w:val="775"/>
    <w:link w:val="971"/>
    <w:uiPriority w:val="29"/>
    <w:qFormat/>
    <w:pPr>
      <w:ind w:left="720" w:right="720"/>
    </w:pPr>
    <w:rPr>
      <w:i/>
    </w:rPr>
  </w:style>
  <w:style w:type="character" w:styleId="971" w:customStyle="1">
    <w:name w:val="引用 字符"/>
    <w:link w:val="970"/>
    <w:uiPriority w:val="29"/>
    <w:qFormat/>
    <w:rPr>
      <w:i/>
    </w:rPr>
  </w:style>
  <w:style w:type="paragraph" w:styleId="972" w:customStyle="1">
    <w:name w:val="明显引用1"/>
    <w:basedOn w:val="775"/>
    <w:next w:val="775"/>
    <w:link w:val="9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3" w:customStyle="1">
    <w:name w:val="明显引用 字符"/>
    <w:link w:val="972"/>
    <w:uiPriority w:val="30"/>
    <w:qFormat/>
    <w:rPr>
      <w:i/>
    </w:rPr>
  </w:style>
  <w:style w:type="table" w:styleId="974" w:customStyle="1">
    <w:name w:val="Table Grid Light"/>
    <w:uiPriority w:val="59"/>
    <w:qFormat/>
    <w:tblPr>
      <w:tblCellMar>
        <w:left w:w="0" w:type="dxa"/>
        <w:top w:w="0" w:type="dxa"/>
        <w:right w:w="0" w:type="dxa"/>
        <w:bottom w:w="0" w:type="dxa"/>
      </w:tblCellMar>
    </w:tblPr>
  </w:style>
  <w:style w:type="table" w:styleId="975" w:customStyle="1">
    <w:name w:val="Grid Table 1 Light - Accent 1"/>
    <w:uiPriority w:val="99"/>
    <w:qFormat/>
    <w:tblPr>
      <w:tblCellMar>
        <w:left w:w="0" w:type="dxa"/>
        <w:top w:w="0" w:type="dxa"/>
        <w:right w:w="0" w:type="dxa"/>
        <w:bottom w:w="0" w:type="dxa"/>
      </w:tblCellMar>
    </w:tblPr>
  </w:style>
  <w:style w:type="table" w:styleId="976" w:customStyle="1">
    <w:name w:val="Grid Table 1 Light - Accent 2"/>
    <w:uiPriority w:val="99"/>
    <w:qFormat/>
    <w:tblPr>
      <w:tblCellMar>
        <w:left w:w="0" w:type="dxa"/>
        <w:top w:w="0" w:type="dxa"/>
        <w:right w:w="0" w:type="dxa"/>
        <w:bottom w:w="0" w:type="dxa"/>
      </w:tblCellMar>
    </w:tblPr>
  </w:style>
  <w:style w:type="table" w:styleId="977" w:customStyle="1">
    <w:name w:val="Grid Table 1 Light - Accent 3"/>
    <w:uiPriority w:val="99"/>
    <w:qFormat/>
    <w:tblPr>
      <w:tblCellMar>
        <w:left w:w="0" w:type="dxa"/>
        <w:top w:w="0" w:type="dxa"/>
        <w:right w:w="0" w:type="dxa"/>
        <w:bottom w:w="0" w:type="dxa"/>
      </w:tblCellMar>
    </w:tblPr>
  </w:style>
  <w:style w:type="table" w:styleId="978" w:customStyle="1">
    <w:name w:val="Grid Table 1 Light - Accent 4"/>
    <w:uiPriority w:val="99"/>
    <w:qFormat/>
    <w:tblPr>
      <w:tblCellMar>
        <w:left w:w="0" w:type="dxa"/>
        <w:top w:w="0" w:type="dxa"/>
        <w:right w:w="0" w:type="dxa"/>
        <w:bottom w:w="0" w:type="dxa"/>
      </w:tblCellMar>
    </w:tblPr>
  </w:style>
  <w:style w:type="table" w:styleId="979" w:customStyle="1">
    <w:name w:val="Grid Table 1 Light - Accent 5"/>
    <w:uiPriority w:val="99"/>
    <w:qFormat/>
    <w:tblPr>
      <w:tblCellMar>
        <w:left w:w="0" w:type="dxa"/>
        <w:top w:w="0" w:type="dxa"/>
        <w:right w:w="0" w:type="dxa"/>
        <w:bottom w:w="0" w:type="dxa"/>
      </w:tblCellMar>
    </w:tblPr>
  </w:style>
  <w:style w:type="table" w:styleId="980" w:customStyle="1">
    <w:name w:val="Grid Table 1 Light - Accent 6"/>
    <w:uiPriority w:val="99"/>
    <w:qFormat/>
    <w:tblPr>
      <w:tblCellMar>
        <w:left w:w="0" w:type="dxa"/>
        <w:top w:w="0" w:type="dxa"/>
        <w:right w:w="0" w:type="dxa"/>
        <w:bottom w:w="0" w:type="dxa"/>
      </w:tblCellMar>
    </w:tblPr>
  </w:style>
  <w:style w:type="table" w:styleId="981" w:customStyle="1">
    <w:name w:val="Grid Table 2 - Accent 1"/>
    <w:uiPriority w:val="99"/>
    <w:qFormat/>
    <w:tblPr>
      <w:tblCellMar>
        <w:left w:w="0" w:type="dxa"/>
        <w:top w:w="0" w:type="dxa"/>
        <w:right w:w="0" w:type="dxa"/>
        <w:bottom w:w="0" w:type="dxa"/>
      </w:tblCellMar>
    </w:tblPr>
  </w:style>
  <w:style w:type="table" w:styleId="982" w:customStyle="1">
    <w:name w:val="Grid Table 2 - Accent 2"/>
    <w:uiPriority w:val="99"/>
    <w:qFormat/>
    <w:tblPr>
      <w:tblCellMar>
        <w:left w:w="0" w:type="dxa"/>
        <w:top w:w="0" w:type="dxa"/>
        <w:right w:w="0" w:type="dxa"/>
        <w:bottom w:w="0" w:type="dxa"/>
      </w:tblCellMar>
    </w:tblPr>
  </w:style>
  <w:style w:type="table" w:styleId="983" w:customStyle="1">
    <w:name w:val="Grid Table 2 - Accent 3"/>
    <w:uiPriority w:val="99"/>
    <w:qFormat/>
    <w:tblPr>
      <w:tblCellMar>
        <w:left w:w="0" w:type="dxa"/>
        <w:top w:w="0" w:type="dxa"/>
        <w:right w:w="0" w:type="dxa"/>
        <w:bottom w:w="0" w:type="dxa"/>
      </w:tblCellMar>
    </w:tblPr>
  </w:style>
  <w:style w:type="table" w:styleId="984" w:customStyle="1">
    <w:name w:val="Grid Table 2 - Accent 4"/>
    <w:uiPriority w:val="99"/>
    <w:qFormat/>
    <w:tblPr>
      <w:tblCellMar>
        <w:left w:w="0" w:type="dxa"/>
        <w:top w:w="0" w:type="dxa"/>
        <w:right w:w="0" w:type="dxa"/>
        <w:bottom w:w="0" w:type="dxa"/>
      </w:tblCellMar>
    </w:tblPr>
  </w:style>
  <w:style w:type="table" w:styleId="985" w:customStyle="1">
    <w:name w:val="Grid Table 2 - Accent 5"/>
    <w:uiPriority w:val="99"/>
    <w:qFormat/>
    <w:tblPr>
      <w:tblCellMar>
        <w:left w:w="0" w:type="dxa"/>
        <w:top w:w="0" w:type="dxa"/>
        <w:right w:w="0" w:type="dxa"/>
        <w:bottom w:w="0" w:type="dxa"/>
      </w:tblCellMar>
    </w:tblPr>
  </w:style>
  <w:style w:type="table" w:styleId="986" w:customStyle="1">
    <w:name w:val="Grid Table 2 - Accent 6"/>
    <w:uiPriority w:val="99"/>
    <w:qFormat/>
    <w:tblPr>
      <w:tblCellMar>
        <w:left w:w="0" w:type="dxa"/>
        <w:top w:w="0" w:type="dxa"/>
        <w:right w:w="0" w:type="dxa"/>
        <w:bottom w:w="0" w:type="dxa"/>
      </w:tblCellMar>
    </w:tblPr>
  </w:style>
  <w:style w:type="table" w:styleId="987" w:customStyle="1">
    <w:name w:val="Grid Table 3 - Accent 1"/>
    <w:uiPriority w:val="99"/>
    <w:qFormat/>
    <w:tblPr>
      <w:tblCellMar>
        <w:left w:w="0" w:type="dxa"/>
        <w:top w:w="0" w:type="dxa"/>
        <w:right w:w="0" w:type="dxa"/>
        <w:bottom w:w="0" w:type="dxa"/>
      </w:tblCellMar>
    </w:tblPr>
  </w:style>
  <w:style w:type="table" w:styleId="988" w:customStyle="1">
    <w:name w:val="Grid Table 3 - Accent 2"/>
    <w:uiPriority w:val="99"/>
    <w:qFormat/>
    <w:tblPr>
      <w:tblCellMar>
        <w:left w:w="0" w:type="dxa"/>
        <w:top w:w="0" w:type="dxa"/>
        <w:right w:w="0" w:type="dxa"/>
        <w:bottom w:w="0" w:type="dxa"/>
      </w:tblCellMar>
    </w:tblPr>
  </w:style>
  <w:style w:type="table" w:styleId="989" w:customStyle="1">
    <w:name w:val="Grid Table 3 - Accent 3"/>
    <w:uiPriority w:val="99"/>
    <w:qFormat/>
    <w:tblPr>
      <w:tblCellMar>
        <w:left w:w="0" w:type="dxa"/>
        <w:top w:w="0" w:type="dxa"/>
        <w:right w:w="0" w:type="dxa"/>
        <w:bottom w:w="0" w:type="dxa"/>
      </w:tblCellMar>
    </w:tblPr>
  </w:style>
  <w:style w:type="table" w:styleId="990" w:customStyle="1">
    <w:name w:val="Grid Table 3 - Accent 4"/>
    <w:uiPriority w:val="99"/>
    <w:qFormat/>
    <w:tblPr>
      <w:tblCellMar>
        <w:left w:w="0" w:type="dxa"/>
        <w:top w:w="0" w:type="dxa"/>
        <w:right w:w="0" w:type="dxa"/>
        <w:bottom w:w="0" w:type="dxa"/>
      </w:tblCellMar>
    </w:tblPr>
  </w:style>
  <w:style w:type="table" w:styleId="991" w:customStyle="1">
    <w:name w:val="Grid Table 3 - Accent 5"/>
    <w:uiPriority w:val="99"/>
    <w:qFormat/>
    <w:tblPr>
      <w:tblCellMar>
        <w:left w:w="0" w:type="dxa"/>
        <w:top w:w="0" w:type="dxa"/>
        <w:right w:w="0" w:type="dxa"/>
        <w:bottom w:w="0" w:type="dxa"/>
      </w:tblCellMar>
    </w:tblPr>
  </w:style>
  <w:style w:type="table" w:styleId="992" w:customStyle="1">
    <w:name w:val="Grid Table 3 - Accent 6"/>
    <w:uiPriority w:val="99"/>
    <w:qFormat/>
    <w:tblPr>
      <w:tblCellMar>
        <w:left w:w="0" w:type="dxa"/>
        <w:top w:w="0" w:type="dxa"/>
        <w:right w:w="0" w:type="dxa"/>
        <w:bottom w:w="0" w:type="dxa"/>
      </w:tblCellMar>
    </w:tblPr>
  </w:style>
  <w:style w:type="table" w:styleId="993" w:customStyle="1">
    <w:name w:val="Grid Table 4 - Accent 1"/>
    <w:uiPriority w:val="59"/>
    <w:qFormat/>
    <w:tblPr>
      <w:tblCellMar>
        <w:left w:w="0" w:type="dxa"/>
        <w:top w:w="0" w:type="dxa"/>
        <w:right w:w="0" w:type="dxa"/>
        <w:bottom w:w="0" w:type="dxa"/>
      </w:tblCellMar>
    </w:tblPr>
  </w:style>
  <w:style w:type="table" w:styleId="994" w:customStyle="1">
    <w:name w:val="Grid Table 4 - Accent 2"/>
    <w:uiPriority w:val="59"/>
    <w:qFormat/>
    <w:tblPr>
      <w:tblCellMar>
        <w:left w:w="0" w:type="dxa"/>
        <w:top w:w="0" w:type="dxa"/>
        <w:right w:w="0" w:type="dxa"/>
        <w:bottom w:w="0" w:type="dxa"/>
      </w:tblCellMar>
    </w:tblPr>
  </w:style>
  <w:style w:type="table" w:styleId="995" w:customStyle="1">
    <w:name w:val="Grid Table 4 - Accent 3"/>
    <w:uiPriority w:val="59"/>
    <w:qFormat/>
    <w:tblPr>
      <w:tblCellMar>
        <w:left w:w="0" w:type="dxa"/>
        <w:top w:w="0" w:type="dxa"/>
        <w:right w:w="0" w:type="dxa"/>
        <w:bottom w:w="0" w:type="dxa"/>
      </w:tblCellMar>
    </w:tblPr>
  </w:style>
  <w:style w:type="table" w:styleId="996" w:customStyle="1">
    <w:name w:val="Grid Table 4 - Accent 4"/>
    <w:uiPriority w:val="59"/>
    <w:qFormat/>
    <w:tblPr>
      <w:tblCellMar>
        <w:left w:w="0" w:type="dxa"/>
        <w:top w:w="0" w:type="dxa"/>
        <w:right w:w="0" w:type="dxa"/>
        <w:bottom w:w="0" w:type="dxa"/>
      </w:tblCellMar>
    </w:tblPr>
  </w:style>
  <w:style w:type="table" w:styleId="997" w:customStyle="1">
    <w:name w:val="Grid Table 4 - Accent 5"/>
    <w:uiPriority w:val="59"/>
    <w:qFormat/>
    <w:tblPr>
      <w:tblCellMar>
        <w:left w:w="0" w:type="dxa"/>
        <w:top w:w="0" w:type="dxa"/>
        <w:right w:w="0" w:type="dxa"/>
        <w:bottom w:w="0" w:type="dxa"/>
      </w:tblCellMar>
    </w:tblPr>
  </w:style>
  <w:style w:type="table" w:styleId="998" w:customStyle="1">
    <w:name w:val="Grid Table 4 - Accent 6"/>
    <w:uiPriority w:val="59"/>
    <w:qFormat/>
    <w:tblPr>
      <w:tblCellMar>
        <w:left w:w="0" w:type="dxa"/>
        <w:top w:w="0" w:type="dxa"/>
        <w:right w:w="0" w:type="dxa"/>
        <w:bottom w:w="0" w:type="dxa"/>
      </w:tblCellMar>
    </w:tblPr>
  </w:style>
  <w:style w:type="table" w:styleId="999" w:customStyle="1">
    <w:name w:val="Grid Table 5 Dark- Accent 1"/>
    <w:uiPriority w:val="99"/>
    <w:qFormat/>
    <w:tblPr>
      <w:tblCellMar>
        <w:left w:w="0" w:type="dxa"/>
        <w:top w:w="0" w:type="dxa"/>
        <w:right w:w="0" w:type="dxa"/>
        <w:bottom w:w="0" w:type="dxa"/>
      </w:tblCellMar>
    </w:tblPr>
  </w:style>
  <w:style w:type="table" w:styleId="1000" w:customStyle="1">
    <w:name w:val="Grid Table 5 Dark - Accent 2"/>
    <w:uiPriority w:val="99"/>
    <w:qFormat/>
    <w:tblPr>
      <w:tblCellMar>
        <w:left w:w="0" w:type="dxa"/>
        <w:top w:w="0" w:type="dxa"/>
        <w:right w:w="0" w:type="dxa"/>
        <w:bottom w:w="0" w:type="dxa"/>
      </w:tblCellMar>
    </w:tblPr>
  </w:style>
  <w:style w:type="table" w:styleId="1001" w:customStyle="1">
    <w:name w:val="Grid Table 5 Dark - Accent 3"/>
    <w:uiPriority w:val="99"/>
    <w:qFormat/>
    <w:tblPr>
      <w:tblCellMar>
        <w:left w:w="0" w:type="dxa"/>
        <w:top w:w="0" w:type="dxa"/>
        <w:right w:w="0" w:type="dxa"/>
        <w:bottom w:w="0" w:type="dxa"/>
      </w:tblCellMar>
    </w:tblPr>
  </w:style>
  <w:style w:type="table" w:styleId="1002" w:customStyle="1">
    <w:name w:val="Grid Table 5 Dark- Accent 4"/>
    <w:uiPriority w:val="99"/>
    <w:qFormat/>
    <w:tblPr>
      <w:tblCellMar>
        <w:left w:w="0" w:type="dxa"/>
        <w:top w:w="0" w:type="dxa"/>
        <w:right w:w="0" w:type="dxa"/>
        <w:bottom w:w="0" w:type="dxa"/>
      </w:tblCellMar>
    </w:tblPr>
  </w:style>
  <w:style w:type="table" w:styleId="1003" w:customStyle="1">
    <w:name w:val="Grid Table 5 Dark - Accent 5"/>
    <w:uiPriority w:val="99"/>
    <w:qFormat/>
    <w:tblPr>
      <w:tblCellMar>
        <w:left w:w="0" w:type="dxa"/>
        <w:top w:w="0" w:type="dxa"/>
        <w:right w:w="0" w:type="dxa"/>
        <w:bottom w:w="0" w:type="dxa"/>
      </w:tblCellMar>
    </w:tblPr>
  </w:style>
  <w:style w:type="table" w:styleId="1004" w:customStyle="1">
    <w:name w:val="Grid Table 5 Dark - Accent 6"/>
    <w:uiPriority w:val="99"/>
    <w:qFormat/>
    <w:tblPr>
      <w:tblCellMar>
        <w:left w:w="0" w:type="dxa"/>
        <w:top w:w="0" w:type="dxa"/>
        <w:right w:w="0" w:type="dxa"/>
        <w:bottom w:w="0" w:type="dxa"/>
      </w:tblCellMar>
    </w:tblPr>
  </w:style>
  <w:style w:type="table" w:styleId="1005" w:customStyle="1">
    <w:name w:val="Grid Table 6 Colorful - Accent 1"/>
    <w:uiPriority w:val="99"/>
    <w:qFormat/>
    <w:tblPr>
      <w:tblCellMar>
        <w:left w:w="0" w:type="dxa"/>
        <w:top w:w="0" w:type="dxa"/>
        <w:right w:w="0" w:type="dxa"/>
        <w:bottom w:w="0" w:type="dxa"/>
      </w:tblCellMar>
    </w:tblPr>
  </w:style>
  <w:style w:type="table" w:styleId="1006" w:customStyle="1">
    <w:name w:val="Grid Table 6 Colorful - Accent 2"/>
    <w:uiPriority w:val="99"/>
    <w:qFormat/>
    <w:tblPr>
      <w:tblCellMar>
        <w:left w:w="0" w:type="dxa"/>
        <w:top w:w="0" w:type="dxa"/>
        <w:right w:w="0" w:type="dxa"/>
        <w:bottom w:w="0" w:type="dxa"/>
      </w:tblCellMar>
    </w:tblPr>
  </w:style>
  <w:style w:type="table" w:styleId="1007" w:customStyle="1">
    <w:name w:val="Grid Table 6 Colorful - Accent 3"/>
    <w:uiPriority w:val="99"/>
    <w:qFormat/>
    <w:tblPr>
      <w:tblCellMar>
        <w:left w:w="0" w:type="dxa"/>
        <w:top w:w="0" w:type="dxa"/>
        <w:right w:w="0" w:type="dxa"/>
        <w:bottom w:w="0" w:type="dxa"/>
      </w:tblCellMar>
    </w:tblPr>
  </w:style>
  <w:style w:type="table" w:styleId="1008" w:customStyle="1">
    <w:name w:val="Grid Table 6 Colorful - Accent 4"/>
    <w:uiPriority w:val="99"/>
    <w:qFormat/>
    <w:tblPr>
      <w:tblCellMar>
        <w:left w:w="0" w:type="dxa"/>
        <w:top w:w="0" w:type="dxa"/>
        <w:right w:w="0" w:type="dxa"/>
        <w:bottom w:w="0" w:type="dxa"/>
      </w:tblCellMar>
    </w:tblPr>
  </w:style>
  <w:style w:type="table" w:styleId="1009" w:customStyle="1">
    <w:name w:val="Grid Table 6 Colorful - Accent 5"/>
    <w:uiPriority w:val="99"/>
    <w:qFormat/>
    <w:tblPr>
      <w:tblCellMar>
        <w:left w:w="0" w:type="dxa"/>
        <w:top w:w="0" w:type="dxa"/>
        <w:right w:w="0" w:type="dxa"/>
        <w:bottom w:w="0" w:type="dxa"/>
      </w:tblCellMar>
    </w:tblPr>
  </w:style>
  <w:style w:type="table" w:styleId="1010" w:customStyle="1">
    <w:name w:val="Grid Table 6 Colorful - Accent 6"/>
    <w:uiPriority w:val="99"/>
    <w:qFormat/>
    <w:tblPr>
      <w:tblCellMar>
        <w:left w:w="0" w:type="dxa"/>
        <w:top w:w="0" w:type="dxa"/>
        <w:right w:w="0" w:type="dxa"/>
        <w:bottom w:w="0" w:type="dxa"/>
      </w:tblCellMar>
    </w:tblPr>
  </w:style>
  <w:style w:type="table" w:styleId="1011" w:customStyle="1">
    <w:name w:val="Grid Table 7 Colorful - Accent 1"/>
    <w:uiPriority w:val="99"/>
    <w:qFormat/>
    <w:tblPr>
      <w:tblCellMar>
        <w:left w:w="0" w:type="dxa"/>
        <w:top w:w="0" w:type="dxa"/>
        <w:right w:w="0" w:type="dxa"/>
        <w:bottom w:w="0" w:type="dxa"/>
      </w:tblCellMar>
    </w:tblPr>
  </w:style>
  <w:style w:type="table" w:styleId="1012" w:customStyle="1">
    <w:name w:val="Grid Table 7 Colorful - Accent 2"/>
    <w:uiPriority w:val="99"/>
    <w:qFormat/>
    <w:tblPr>
      <w:tblCellMar>
        <w:left w:w="0" w:type="dxa"/>
        <w:top w:w="0" w:type="dxa"/>
        <w:right w:w="0" w:type="dxa"/>
        <w:bottom w:w="0" w:type="dxa"/>
      </w:tblCellMar>
    </w:tblPr>
  </w:style>
  <w:style w:type="table" w:styleId="1013" w:customStyle="1">
    <w:name w:val="Grid Table 7 Colorful - Accent 3"/>
    <w:uiPriority w:val="99"/>
    <w:qFormat/>
    <w:tblPr>
      <w:tblCellMar>
        <w:left w:w="0" w:type="dxa"/>
        <w:top w:w="0" w:type="dxa"/>
        <w:right w:w="0" w:type="dxa"/>
        <w:bottom w:w="0" w:type="dxa"/>
      </w:tblCellMar>
    </w:tblPr>
  </w:style>
  <w:style w:type="table" w:styleId="1014" w:customStyle="1">
    <w:name w:val="Grid Table 7 Colorful - Accent 4"/>
    <w:uiPriority w:val="99"/>
    <w:qFormat/>
    <w:tblPr>
      <w:tblCellMar>
        <w:left w:w="0" w:type="dxa"/>
        <w:top w:w="0" w:type="dxa"/>
        <w:right w:w="0" w:type="dxa"/>
        <w:bottom w:w="0" w:type="dxa"/>
      </w:tblCellMar>
    </w:tblPr>
  </w:style>
  <w:style w:type="table" w:styleId="1015" w:customStyle="1">
    <w:name w:val="Grid Table 7 Colorful - Accent 5"/>
    <w:uiPriority w:val="99"/>
    <w:qFormat/>
    <w:tblPr>
      <w:tblCellMar>
        <w:left w:w="0" w:type="dxa"/>
        <w:top w:w="0" w:type="dxa"/>
        <w:right w:w="0" w:type="dxa"/>
        <w:bottom w:w="0" w:type="dxa"/>
      </w:tblCellMar>
    </w:tblPr>
  </w:style>
  <w:style w:type="table" w:styleId="1016" w:customStyle="1">
    <w:name w:val="Grid Table 7 Colorful - Accent 6"/>
    <w:uiPriority w:val="99"/>
    <w:qFormat/>
    <w:tblPr>
      <w:tblCellMar>
        <w:left w:w="0" w:type="dxa"/>
        <w:top w:w="0" w:type="dxa"/>
        <w:right w:w="0" w:type="dxa"/>
        <w:bottom w:w="0" w:type="dxa"/>
      </w:tblCellMar>
    </w:tblPr>
  </w:style>
  <w:style w:type="table" w:styleId="1017" w:customStyle="1">
    <w:name w:val="List Table 1 Light - Accent 1"/>
    <w:uiPriority w:val="99"/>
    <w:qFormat/>
    <w:tblPr>
      <w:tblCellMar>
        <w:left w:w="0" w:type="dxa"/>
        <w:top w:w="0" w:type="dxa"/>
        <w:right w:w="0" w:type="dxa"/>
        <w:bottom w:w="0" w:type="dxa"/>
      </w:tblCellMar>
    </w:tblPr>
  </w:style>
  <w:style w:type="table" w:styleId="1018" w:customStyle="1">
    <w:name w:val="List Table 1 Light - Accent 2"/>
    <w:uiPriority w:val="99"/>
    <w:qFormat/>
    <w:tblPr>
      <w:tblCellMar>
        <w:left w:w="0" w:type="dxa"/>
        <w:top w:w="0" w:type="dxa"/>
        <w:right w:w="0" w:type="dxa"/>
        <w:bottom w:w="0" w:type="dxa"/>
      </w:tblCellMar>
    </w:tblPr>
  </w:style>
  <w:style w:type="table" w:styleId="1019" w:customStyle="1">
    <w:name w:val="List Table 1 Light - Accent 3"/>
    <w:uiPriority w:val="99"/>
    <w:qFormat/>
    <w:tblPr>
      <w:tblCellMar>
        <w:left w:w="0" w:type="dxa"/>
        <w:top w:w="0" w:type="dxa"/>
        <w:right w:w="0" w:type="dxa"/>
        <w:bottom w:w="0" w:type="dxa"/>
      </w:tblCellMar>
    </w:tblPr>
  </w:style>
  <w:style w:type="table" w:styleId="1020" w:customStyle="1">
    <w:name w:val="List Table 1 Light - Accent 4"/>
    <w:uiPriority w:val="99"/>
    <w:qFormat/>
    <w:tblPr>
      <w:tblCellMar>
        <w:left w:w="0" w:type="dxa"/>
        <w:top w:w="0" w:type="dxa"/>
        <w:right w:w="0" w:type="dxa"/>
        <w:bottom w:w="0" w:type="dxa"/>
      </w:tblCellMar>
    </w:tblPr>
  </w:style>
  <w:style w:type="table" w:styleId="1021" w:customStyle="1">
    <w:name w:val="List Table 1 Light - Accent 5"/>
    <w:uiPriority w:val="99"/>
    <w:qFormat/>
    <w:tblPr>
      <w:tblCellMar>
        <w:left w:w="0" w:type="dxa"/>
        <w:top w:w="0" w:type="dxa"/>
        <w:right w:w="0" w:type="dxa"/>
        <w:bottom w:w="0" w:type="dxa"/>
      </w:tblCellMar>
    </w:tblPr>
  </w:style>
  <w:style w:type="table" w:styleId="1022" w:customStyle="1">
    <w:name w:val="List Table 1 Light - Accent 6"/>
    <w:uiPriority w:val="99"/>
    <w:qFormat/>
    <w:tblPr>
      <w:tblCellMar>
        <w:left w:w="0" w:type="dxa"/>
        <w:top w:w="0" w:type="dxa"/>
        <w:right w:w="0" w:type="dxa"/>
        <w:bottom w:w="0" w:type="dxa"/>
      </w:tblCellMar>
    </w:tblPr>
  </w:style>
  <w:style w:type="table" w:styleId="1023" w:customStyle="1">
    <w:name w:val="List Table 2 - Accent 1"/>
    <w:uiPriority w:val="99"/>
    <w:qFormat/>
    <w:tblPr>
      <w:tblCellMar>
        <w:left w:w="0" w:type="dxa"/>
        <w:top w:w="0" w:type="dxa"/>
        <w:right w:w="0" w:type="dxa"/>
        <w:bottom w:w="0" w:type="dxa"/>
      </w:tblCellMar>
    </w:tblPr>
  </w:style>
  <w:style w:type="table" w:styleId="1024" w:customStyle="1">
    <w:name w:val="List Table 2 - Accent 2"/>
    <w:uiPriority w:val="99"/>
    <w:qFormat/>
    <w:tblPr>
      <w:tblCellMar>
        <w:left w:w="0" w:type="dxa"/>
        <w:top w:w="0" w:type="dxa"/>
        <w:right w:w="0" w:type="dxa"/>
        <w:bottom w:w="0" w:type="dxa"/>
      </w:tblCellMar>
    </w:tblPr>
  </w:style>
  <w:style w:type="table" w:styleId="1025" w:customStyle="1">
    <w:name w:val="List Table 2 - Accent 3"/>
    <w:uiPriority w:val="99"/>
    <w:qFormat/>
    <w:tblPr>
      <w:tblCellMar>
        <w:left w:w="0" w:type="dxa"/>
        <w:top w:w="0" w:type="dxa"/>
        <w:right w:w="0" w:type="dxa"/>
        <w:bottom w:w="0" w:type="dxa"/>
      </w:tblCellMar>
    </w:tblPr>
  </w:style>
  <w:style w:type="table" w:styleId="1026" w:customStyle="1">
    <w:name w:val="List Table 2 - Accent 4"/>
    <w:uiPriority w:val="99"/>
    <w:qFormat/>
    <w:tblPr>
      <w:tblCellMar>
        <w:left w:w="0" w:type="dxa"/>
        <w:top w:w="0" w:type="dxa"/>
        <w:right w:w="0" w:type="dxa"/>
        <w:bottom w:w="0" w:type="dxa"/>
      </w:tblCellMar>
    </w:tblPr>
  </w:style>
  <w:style w:type="table" w:styleId="1027" w:customStyle="1">
    <w:name w:val="List Table 2 - Accent 5"/>
    <w:uiPriority w:val="99"/>
    <w:qFormat/>
    <w:tblPr>
      <w:tblCellMar>
        <w:left w:w="0" w:type="dxa"/>
        <w:top w:w="0" w:type="dxa"/>
        <w:right w:w="0" w:type="dxa"/>
        <w:bottom w:w="0" w:type="dxa"/>
      </w:tblCellMar>
    </w:tblPr>
  </w:style>
  <w:style w:type="table" w:styleId="1028" w:customStyle="1">
    <w:name w:val="List Table 2 - Accent 6"/>
    <w:uiPriority w:val="99"/>
    <w:qFormat/>
    <w:tblPr>
      <w:tblCellMar>
        <w:left w:w="0" w:type="dxa"/>
        <w:top w:w="0" w:type="dxa"/>
        <w:right w:w="0" w:type="dxa"/>
        <w:bottom w:w="0" w:type="dxa"/>
      </w:tblCellMar>
    </w:tblPr>
  </w:style>
  <w:style w:type="table" w:styleId="1029" w:customStyle="1">
    <w:name w:val="List Table 3 - Accent 1"/>
    <w:uiPriority w:val="99"/>
    <w:qFormat/>
    <w:tblPr>
      <w:tblCellMar>
        <w:left w:w="0" w:type="dxa"/>
        <w:top w:w="0" w:type="dxa"/>
        <w:right w:w="0" w:type="dxa"/>
        <w:bottom w:w="0" w:type="dxa"/>
      </w:tblCellMar>
    </w:tblPr>
  </w:style>
  <w:style w:type="table" w:styleId="1030" w:customStyle="1">
    <w:name w:val="List Table 3 - Accent 2"/>
    <w:uiPriority w:val="99"/>
    <w:qFormat/>
    <w:tblPr>
      <w:tblCellMar>
        <w:left w:w="0" w:type="dxa"/>
        <w:top w:w="0" w:type="dxa"/>
        <w:right w:w="0" w:type="dxa"/>
        <w:bottom w:w="0" w:type="dxa"/>
      </w:tblCellMar>
    </w:tblPr>
  </w:style>
  <w:style w:type="table" w:styleId="1031" w:customStyle="1">
    <w:name w:val="List Table 3 - Accent 3"/>
    <w:uiPriority w:val="99"/>
    <w:qFormat/>
    <w:tblPr>
      <w:tblCellMar>
        <w:left w:w="0" w:type="dxa"/>
        <w:top w:w="0" w:type="dxa"/>
        <w:right w:w="0" w:type="dxa"/>
        <w:bottom w:w="0" w:type="dxa"/>
      </w:tblCellMar>
    </w:tblPr>
  </w:style>
  <w:style w:type="table" w:styleId="1032" w:customStyle="1">
    <w:name w:val="List Table 3 - Accent 4"/>
    <w:uiPriority w:val="99"/>
    <w:qFormat/>
    <w:tblPr>
      <w:tblCellMar>
        <w:left w:w="0" w:type="dxa"/>
        <w:top w:w="0" w:type="dxa"/>
        <w:right w:w="0" w:type="dxa"/>
        <w:bottom w:w="0" w:type="dxa"/>
      </w:tblCellMar>
    </w:tblPr>
  </w:style>
  <w:style w:type="table" w:styleId="1033" w:customStyle="1">
    <w:name w:val="List Table 3 - Accent 5"/>
    <w:uiPriority w:val="99"/>
    <w:qFormat/>
    <w:tblPr>
      <w:tblCellMar>
        <w:left w:w="0" w:type="dxa"/>
        <w:top w:w="0" w:type="dxa"/>
        <w:right w:w="0" w:type="dxa"/>
        <w:bottom w:w="0" w:type="dxa"/>
      </w:tblCellMar>
    </w:tblPr>
  </w:style>
  <w:style w:type="table" w:styleId="1034" w:customStyle="1">
    <w:name w:val="List Table 3 - Accent 6"/>
    <w:uiPriority w:val="99"/>
    <w:qFormat/>
    <w:tblPr>
      <w:tblCellMar>
        <w:left w:w="0" w:type="dxa"/>
        <w:top w:w="0" w:type="dxa"/>
        <w:right w:w="0" w:type="dxa"/>
        <w:bottom w:w="0" w:type="dxa"/>
      </w:tblCellMar>
    </w:tblPr>
  </w:style>
  <w:style w:type="table" w:styleId="1035" w:customStyle="1">
    <w:name w:val="List Table 4 - Accent 1"/>
    <w:uiPriority w:val="99"/>
    <w:qFormat/>
    <w:tblPr>
      <w:tblCellMar>
        <w:left w:w="0" w:type="dxa"/>
        <w:top w:w="0" w:type="dxa"/>
        <w:right w:w="0" w:type="dxa"/>
        <w:bottom w:w="0" w:type="dxa"/>
      </w:tblCellMar>
    </w:tblPr>
  </w:style>
  <w:style w:type="table" w:styleId="1036" w:customStyle="1">
    <w:name w:val="List Table 4 - Accent 2"/>
    <w:uiPriority w:val="99"/>
    <w:qFormat/>
    <w:tblPr>
      <w:tblCellMar>
        <w:left w:w="0" w:type="dxa"/>
        <w:top w:w="0" w:type="dxa"/>
        <w:right w:w="0" w:type="dxa"/>
        <w:bottom w:w="0" w:type="dxa"/>
      </w:tblCellMar>
    </w:tblPr>
  </w:style>
  <w:style w:type="table" w:styleId="1037" w:customStyle="1">
    <w:name w:val="List Table 4 - Accent 3"/>
    <w:uiPriority w:val="99"/>
    <w:qFormat/>
    <w:tblPr>
      <w:tblCellMar>
        <w:left w:w="0" w:type="dxa"/>
        <w:top w:w="0" w:type="dxa"/>
        <w:right w:w="0" w:type="dxa"/>
        <w:bottom w:w="0" w:type="dxa"/>
      </w:tblCellMar>
    </w:tblPr>
  </w:style>
  <w:style w:type="table" w:styleId="1038" w:customStyle="1">
    <w:name w:val="List Table 4 - Accent 4"/>
    <w:uiPriority w:val="99"/>
    <w:qFormat/>
    <w:tblPr>
      <w:tblCellMar>
        <w:left w:w="0" w:type="dxa"/>
        <w:top w:w="0" w:type="dxa"/>
        <w:right w:w="0" w:type="dxa"/>
        <w:bottom w:w="0" w:type="dxa"/>
      </w:tblCellMar>
    </w:tblPr>
  </w:style>
  <w:style w:type="table" w:styleId="1039" w:customStyle="1">
    <w:name w:val="List Table 4 - Accent 5"/>
    <w:uiPriority w:val="99"/>
    <w:qFormat/>
    <w:tblPr>
      <w:tblCellMar>
        <w:left w:w="0" w:type="dxa"/>
        <w:top w:w="0" w:type="dxa"/>
        <w:right w:w="0" w:type="dxa"/>
        <w:bottom w:w="0" w:type="dxa"/>
      </w:tblCellMar>
    </w:tblPr>
  </w:style>
  <w:style w:type="table" w:styleId="1040" w:customStyle="1">
    <w:name w:val="List Table 4 - Accent 6"/>
    <w:uiPriority w:val="99"/>
    <w:qFormat/>
    <w:tblPr>
      <w:tblCellMar>
        <w:left w:w="0" w:type="dxa"/>
        <w:top w:w="0" w:type="dxa"/>
        <w:right w:w="0" w:type="dxa"/>
        <w:bottom w:w="0" w:type="dxa"/>
      </w:tblCellMar>
    </w:tblPr>
  </w:style>
  <w:style w:type="table" w:styleId="1041" w:customStyle="1">
    <w:name w:val="List Table 5 Dark - Accent 1"/>
    <w:uiPriority w:val="99"/>
    <w:qFormat/>
    <w:tblPr>
      <w:tblCellMar>
        <w:left w:w="0" w:type="dxa"/>
        <w:top w:w="0" w:type="dxa"/>
        <w:right w:w="0" w:type="dxa"/>
        <w:bottom w:w="0" w:type="dxa"/>
      </w:tblCellMar>
    </w:tblPr>
  </w:style>
  <w:style w:type="table" w:styleId="1042" w:customStyle="1">
    <w:name w:val="List Table 5 Dark - Accent 2"/>
    <w:uiPriority w:val="99"/>
    <w:qFormat/>
    <w:tblPr>
      <w:tblCellMar>
        <w:left w:w="0" w:type="dxa"/>
        <w:top w:w="0" w:type="dxa"/>
        <w:right w:w="0" w:type="dxa"/>
        <w:bottom w:w="0" w:type="dxa"/>
      </w:tblCellMar>
    </w:tblPr>
  </w:style>
  <w:style w:type="table" w:styleId="1043" w:customStyle="1">
    <w:name w:val="List Table 5 Dark - Accent 3"/>
    <w:uiPriority w:val="99"/>
    <w:qFormat/>
    <w:tblPr>
      <w:tblCellMar>
        <w:left w:w="0" w:type="dxa"/>
        <w:top w:w="0" w:type="dxa"/>
        <w:right w:w="0" w:type="dxa"/>
        <w:bottom w:w="0" w:type="dxa"/>
      </w:tblCellMar>
    </w:tblPr>
  </w:style>
  <w:style w:type="table" w:styleId="1044" w:customStyle="1">
    <w:name w:val="List Table 5 Dark - Accent 4"/>
    <w:uiPriority w:val="99"/>
    <w:qFormat/>
    <w:tblPr>
      <w:tblCellMar>
        <w:left w:w="0" w:type="dxa"/>
        <w:top w:w="0" w:type="dxa"/>
        <w:right w:w="0" w:type="dxa"/>
        <w:bottom w:w="0" w:type="dxa"/>
      </w:tblCellMar>
    </w:tblPr>
  </w:style>
  <w:style w:type="table" w:styleId="1045" w:customStyle="1">
    <w:name w:val="List Table 5 Dark - Accent 5"/>
    <w:uiPriority w:val="99"/>
    <w:qFormat/>
    <w:tblPr>
      <w:tblCellMar>
        <w:left w:w="0" w:type="dxa"/>
        <w:top w:w="0" w:type="dxa"/>
        <w:right w:w="0" w:type="dxa"/>
        <w:bottom w:w="0" w:type="dxa"/>
      </w:tblCellMar>
    </w:tblPr>
  </w:style>
  <w:style w:type="table" w:styleId="1046" w:customStyle="1">
    <w:name w:val="List Table 5 Dark - Accent 6"/>
    <w:uiPriority w:val="99"/>
    <w:qFormat/>
    <w:tblPr>
      <w:tblCellMar>
        <w:left w:w="0" w:type="dxa"/>
        <w:top w:w="0" w:type="dxa"/>
        <w:right w:w="0" w:type="dxa"/>
        <w:bottom w:w="0" w:type="dxa"/>
      </w:tblCellMar>
    </w:tblPr>
  </w:style>
  <w:style w:type="table" w:styleId="1047" w:customStyle="1">
    <w:name w:val="List Table 6 Colorful - Accent 1"/>
    <w:uiPriority w:val="99"/>
    <w:qFormat/>
    <w:tblPr>
      <w:tblCellMar>
        <w:left w:w="0" w:type="dxa"/>
        <w:top w:w="0" w:type="dxa"/>
        <w:right w:w="0" w:type="dxa"/>
        <w:bottom w:w="0" w:type="dxa"/>
      </w:tblCellMar>
    </w:tblPr>
  </w:style>
  <w:style w:type="table" w:styleId="1048" w:customStyle="1">
    <w:name w:val="List Table 6 Colorful - Accent 2"/>
    <w:uiPriority w:val="99"/>
    <w:qFormat/>
    <w:tblPr>
      <w:tblCellMar>
        <w:left w:w="0" w:type="dxa"/>
        <w:top w:w="0" w:type="dxa"/>
        <w:right w:w="0" w:type="dxa"/>
        <w:bottom w:w="0" w:type="dxa"/>
      </w:tblCellMar>
    </w:tblPr>
  </w:style>
  <w:style w:type="table" w:styleId="1049" w:customStyle="1">
    <w:name w:val="List Table 6 Colorful - Accent 3"/>
    <w:uiPriority w:val="99"/>
    <w:qFormat/>
    <w:tblPr>
      <w:tblCellMar>
        <w:left w:w="0" w:type="dxa"/>
        <w:top w:w="0" w:type="dxa"/>
        <w:right w:w="0" w:type="dxa"/>
        <w:bottom w:w="0" w:type="dxa"/>
      </w:tblCellMar>
    </w:tblPr>
  </w:style>
  <w:style w:type="table" w:styleId="1050" w:customStyle="1">
    <w:name w:val="List Table 6 Colorful - Accent 4"/>
    <w:uiPriority w:val="99"/>
    <w:qFormat/>
    <w:tblPr>
      <w:tblCellMar>
        <w:left w:w="0" w:type="dxa"/>
        <w:top w:w="0" w:type="dxa"/>
        <w:right w:w="0" w:type="dxa"/>
        <w:bottom w:w="0" w:type="dxa"/>
      </w:tblCellMar>
    </w:tblPr>
  </w:style>
  <w:style w:type="table" w:styleId="1051" w:customStyle="1">
    <w:name w:val="List Table 6 Colorful - Accent 5"/>
    <w:uiPriority w:val="99"/>
    <w:qFormat/>
    <w:tblPr>
      <w:tblCellMar>
        <w:left w:w="0" w:type="dxa"/>
        <w:top w:w="0" w:type="dxa"/>
        <w:right w:w="0" w:type="dxa"/>
        <w:bottom w:w="0" w:type="dxa"/>
      </w:tblCellMar>
    </w:tblPr>
  </w:style>
  <w:style w:type="table" w:styleId="1052" w:customStyle="1">
    <w:name w:val="List Table 6 Colorful - Accent 6"/>
    <w:uiPriority w:val="99"/>
    <w:qFormat/>
    <w:tblPr>
      <w:tblCellMar>
        <w:left w:w="0" w:type="dxa"/>
        <w:top w:w="0" w:type="dxa"/>
        <w:right w:w="0" w:type="dxa"/>
        <w:bottom w:w="0" w:type="dxa"/>
      </w:tblCellMar>
    </w:tblPr>
  </w:style>
  <w:style w:type="table" w:styleId="1053" w:customStyle="1">
    <w:name w:val="List Table 7 Colorful - Accent 1"/>
    <w:uiPriority w:val="99"/>
    <w:qFormat/>
    <w:tblPr>
      <w:tblCellMar>
        <w:left w:w="0" w:type="dxa"/>
        <w:top w:w="0" w:type="dxa"/>
        <w:right w:w="0" w:type="dxa"/>
        <w:bottom w:w="0" w:type="dxa"/>
      </w:tblCellMar>
    </w:tblPr>
  </w:style>
  <w:style w:type="table" w:styleId="1054" w:customStyle="1">
    <w:name w:val="List Table 7 Colorful - Accent 2"/>
    <w:uiPriority w:val="99"/>
    <w:qFormat/>
    <w:tblPr>
      <w:tblCellMar>
        <w:left w:w="0" w:type="dxa"/>
        <w:top w:w="0" w:type="dxa"/>
        <w:right w:w="0" w:type="dxa"/>
        <w:bottom w:w="0" w:type="dxa"/>
      </w:tblCellMar>
    </w:tblPr>
  </w:style>
  <w:style w:type="table" w:styleId="1055" w:customStyle="1">
    <w:name w:val="List Table 7 Colorful - Accent 3"/>
    <w:uiPriority w:val="99"/>
    <w:qFormat/>
    <w:tblPr>
      <w:tblCellMar>
        <w:left w:w="0" w:type="dxa"/>
        <w:top w:w="0" w:type="dxa"/>
        <w:right w:w="0" w:type="dxa"/>
        <w:bottom w:w="0" w:type="dxa"/>
      </w:tblCellMar>
    </w:tblPr>
  </w:style>
  <w:style w:type="table" w:styleId="1056" w:customStyle="1">
    <w:name w:val="List Table 7 Colorful - Accent 4"/>
    <w:uiPriority w:val="99"/>
    <w:qFormat/>
    <w:tblPr>
      <w:tblCellMar>
        <w:left w:w="0" w:type="dxa"/>
        <w:top w:w="0" w:type="dxa"/>
        <w:right w:w="0" w:type="dxa"/>
        <w:bottom w:w="0" w:type="dxa"/>
      </w:tblCellMar>
    </w:tblPr>
  </w:style>
  <w:style w:type="table" w:styleId="1057" w:customStyle="1">
    <w:name w:val="List Table 7 Colorful - Accent 5"/>
    <w:uiPriority w:val="99"/>
    <w:qFormat/>
    <w:tblPr>
      <w:tblCellMar>
        <w:left w:w="0" w:type="dxa"/>
        <w:top w:w="0" w:type="dxa"/>
        <w:right w:w="0" w:type="dxa"/>
        <w:bottom w:w="0" w:type="dxa"/>
      </w:tblCellMar>
    </w:tblPr>
  </w:style>
  <w:style w:type="table" w:styleId="1058" w:customStyle="1">
    <w:name w:val="List Table 7 Colorful - Accent 6"/>
    <w:uiPriority w:val="99"/>
    <w:qFormat/>
    <w:tblPr>
      <w:tblCellMar>
        <w:left w:w="0" w:type="dxa"/>
        <w:top w:w="0" w:type="dxa"/>
        <w:right w:w="0" w:type="dxa"/>
        <w:bottom w:w="0" w:type="dxa"/>
      </w:tblCellMar>
    </w:tblPr>
  </w:style>
  <w:style w:type="table" w:styleId="1059" w:customStyle="1">
    <w:name w:val="Lined - Accent"/>
    <w:uiPriority w:val="99"/>
    <w:qFormat/>
    <w:rPr>
      <w:color w:val="404040"/>
    </w:rPr>
    <w:tblPr>
      <w:tblCellMar>
        <w:left w:w="0" w:type="dxa"/>
        <w:top w:w="0" w:type="dxa"/>
        <w:right w:w="0" w:type="dxa"/>
        <w:bottom w:w="0" w:type="dxa"/>
      </w:tblCellMar>
    </w:tblPr>
  </w:style>
  <w:style w:type="table" w:styleId="1060" w:customStyle="1">
    <w:name w:val="Lined - Accent 1"/>
    <w:uiPriority w:val="99"/>
    <w:qFormat/>
    <w:rPr>
      <w:color w:val="404040"/>
    </w:rPr>
    <w:tblPr>
      <w:tblCellMar>
        <w:left w:w="0" w:type="dxa"/>
        <w:top w:w="0" w:type="dxa"/>
        <w:right w:w="0" w:type="dxa"/>
        <w:bottom w:w="0" w:type="dxa"/>
      </w:tblCellMar>
    </w:tblPr>
  </w:style>
  <w:style w:type="table" w:styleId="1061" w:customStyle="1">
    <w:name w:val="Lined - Accent 2"/>
    <w:uiPriority w:val="99"/>
    <w:qFormat/>
    <w:rPr>
      <w:color w:val="404040"/>
    </w:rPr>
    <w:tblPr>
      <w:tblCellMar>
        <w:left w:w="0" w:type="dxa"/>
        <w:top w:w="0" w:type="dxa"/>
        <w:right w:w="0" w:type="dxa"/>
        <w:bottom w:w="0" w:type="dxa"/>
      </w:tblCellMar>
    </w:tblPr>
  </w:style>
  <w:style w:type="table" w:styleId="1062" w:customStyle="1">
    <w:name w:val="Lined - Accent 3"/>
    <w:uiPriority w:val="99"/>
    <w:qFormat/>
    <w:rPr>
      <w:color w:val="404040"/>
    </w:rPr>
    <w:tblPr>
      <w:tblCellMar>
        <w:left w:w="0" w:type="dxa"/>
        <w:top w:w="0" w:type="dxa"/>
        <w:right w:w="0" w:type="dxa"/>
        <w:bottom w:w="0" w:type="dxa"/>
      </w:tblCellMar>
    </w:tblPr>
  </w:style>
  <w:style w:type="table" w:styleId="1063" w:customStyle="1">
    <w:name w:val="Lined - Accent 4"/>
    <w:uiPriority w:val="99"/>
    <w:qFormat/>
    <w:rPr>
      <w:color w:val="404040"/>
    </w:rPr>
    <w:tblPr>
      <w:tblCellMar>
        <w:left w:w="0" w:type="dxa"/>
        <w:top w:w="0" w:type="dxa"/>
        <w:right w:w="0" w:type="dxa"/>
        <w:bottom w:w="0" w:type="dxa"/>
      </w:tblCellMar>
    </w:tblPr>
  </w:style>
  <w:style w:type="table" w:styleId="1064" w:customStyle="1">
    <w:name w:val="Lined - Accent 5"/>
    <w:uiPriority w:val="99"/>
    <w:qFormat/>
    <w:rPr>
      <w:color w:val="404040"/>
    </w:rPr>
    <w:tblPr>
      <w:tblCellMar>
        <w:left w:w="0" w:type="dxa"/>
        <w:top w:w="0" w:type="dxa"/>
        <w:right w:w="0" w:type="dxa"/>
        <w:bottom w:w="0" w:type="dxa"/>
      </w:tblCellMar>
    </w:tblPr>
  </w:style>
  <w:style w:type="table" w:styleId="1065" w:customStyle="1">
    <w:name w:val="Lined - Accent 6"/>
    <w:uiPriority w:val="99"/>
    <w:qFormat/>
    <w:rPr>
      <w:color w:val="404040"/>
    </w:rPr>
    <w:tblPr>
      <w:tblCellMar>
        <w:left w:w="0" w:type="dxa"/>
        <w:top w:w="0" w:type="dxa"/>
        <w:right w:w="0" w:type="dxa"/>
        <w:bottom w:w="0" w:type="dxa"/>
      </w:tblCellMar>
    </w:tblPr>
  </w:style>
  <w:style w:type="table" w:styleId="1066" w:customStyle="1">
    <w:name w:val="Bordered &amp; Lined - Accent"/>
    <w:uiPriority w:val="99"/>
    <w:qFormat/>
    <w:rPr>
      <w:color w:val="404040"/>
    </w:rPr>
    <w:tblPr>
      <w:tblCellMar>
        <w:left w:w="0" w:type="dxa"/>
        <w:top w:w="0" w:type="dxa"/>
        <w:right w:w="0" w:type="dxa"/>
        <w:bottom w:w="0" w:type="dxa"/>
      </w:tblCellMar>
    </w:tblPr>
  </w:style>
  <w:style w:type="table" w:styleId="1067" w:customStyle="1">
    <w:name w:val="Bordered &amp; Lined - Accent 1"/>
    <w:uiPriority w:val="99"/>
    <w:qFormat/>
    <w:rPr>
      <w:color w:val="404040"/>
    </w:rPr>
    <w:tblPr>
      <w:tblCellMar>
        <w:left w:w="0" w:type="dxa"/>
        <w:top w:w="0" w:type="dxa"/>
        <w:right w:w="0" w:type="dxa"/>
        <w:bottom w:w="0" w:type="dxa"/>
      </w:tblCellMar>
    </w:tblPr>
  </w:style>
  <w:style w:type="table" w:styleId="1068" w:customStyle="1">
    <w:name w:val="Bordered &amp; Lined - Accent 2"/>
    <w:uiPriority w:val="99"/>
    <w:qFormat/>
    <w:rPr>
      <w:color w:val="404040"/>
    </w:rPr>
    <w:tblPr>
      <w:tblCellMar>
        <w:left w:w="0" w:type="dxa"/>
        <w:top w:w="0" w:type="dxa"/>
        <w:right w:w="0" w:type="dxa"/>
        <w:bottom w:w="0" w:type="dxa"/>
      </w:tblCellMar>
    </w:tblPr>
  </w:style>
  <w:style w:type="table" w:styleId="1069" w:customStyle="1">
    <w:name w:val="Bordered &amp; Lined - Accent 3"/>
    <w:uiPriority w:val="99"/>
    <w:qFormat/>
    <w:rPr>
      <w:color w:val="404040"/>
    </w:rPr>
    <w:tblPr>
      <w:tblCellMar>
        <w:left w:w="0" w:type="dxa"/>
        <w:top w:w="0" w:type="dxa"/>
        <w:right w:w="0" w:type="dxa"/>
        <w:bottom w:w="0" w:type="dxa"/>
      </w:tblCellMar>
    </w:tblPr>
  </w:style>
  <w:style w:type="table" w:styleId="1070" w:customStyle="1">
    <w:name w:val="Bordered &amp; Lined - Accent 4"/>
    <w:uiPriority w:val="99"/>
    <w:qFormat/>
    <w:rPr>
      <w:color w:val="404040"/>
    </w:rPr>
    <w:tblPr>
      <w:tblCellMar>
        <w:left w:w="0" w:type="dxa"/>
        <w:top w:w="0" w:type="dxa"/>
        <w:right w:w="0" w:type="dxa"/>
        <w:bottom w:w="0" w:type="dxa"/>
      </w:tblCellMar>
    </w:tblPr>
  </w:style>
  <w:style w:type="table" w:styleId="1071" w:customStyle="1">
    <w:name w:val="Bordered &amp; Lined - Accent 5"/>
    <w:uiPriority w:val="99"/>
    <w:qFormat/>
    <w:rPr>
      <w:color w:val="404040"/>
    </w:rPr>
    <w:tblPr>
      <w:tblCellMar>
        <w:left w:w="0" w:type="dxa"/>
        <w:top w:w="0" w:type="dxa"/>
        <w:right w:w="0" w:type="dxa"/>
        <w:bottom w:w="0" w:type="dxa"/>
      </w:tblCellMar>
    </w:tblPr>
  </w:style>
  <w:style w:type="table" w:styleId="1072" w:customStyle="1">
    <w:name w:val="Bordered &amp; Lined - Accent 6"/>
    <w:uiPriority w:val="99"/>
    <w:qFormat/>
    <w:rPr>
      <w:color w:val="404040"/>
    </w:rPr>
    <w:tblPr>
      <w:tblCellMar>
        <w:left w:w="0" w:type="dxa"/>
        <w:top w:w="0" w:type="dxa"/>
        <w:right w:w="0" w:type="dxa"/>
        <w:bottom w:w="0" w:type="dxa"/>
      </w:tblCellMar>
    </w:tblPr>
  </w:style>
  <w:style w:type="table" w:styleId="1073" w:customStyle="1">
    <w:name w:val="Bordered"/>
    <w:uiPriority w:val="99"/>
    <w:qFormat/>
    <w:tblPr>
      <w:tblCellMar>
        <w:left w:w="0" w:type="dxa"/>
        <w:top w:w="0" w:type="dxa"/>
        <w:right w:w="0" w:type="dxa"/>
        <w:bottom w:w="0" w:type="dxa"/>
      </w:tblCellMar>
    </w:tblPr>
  </w:style>
  <w:style w:type="table" w:styleId="1074" w:customStyle="1">
    <w:name w:val="Bordered - Accent 1"/>
    <w:uiPriority w:val="99"/>
    <w:qFormat/>
    <w:tblPr>
      <w:tblCellMar>
        <w:left w:w="0" w:type="dxa"/>
        <w:top w:w="0" w:type="dxa"/>
        <w:right w:w="0" w:type="dxa"/>
        <w:bottom w:w="0" w:type="dxa"/>
      </w:tblCellMar>
    </w:tblPr>
  </w:style>
  <w:style w:type="table" w:styleId="1075" w:customStyle="1">
    <w:name w:val="Bordered - Accent 2"/>
    <w:uiPriority w:val="99"/>
    <w:qFormat/>
    <w:tblPr>
      <w:tblCellMar>
        <w:left w:w="0" w:type="dxa"/>
        <w:top w:w="0" w:type="dxa"/>
        <w:right w:w="0" w:type="dxa"/>
        <w:bottom w:w="0" w:type="dxa"/>
      </w:tblCellMar>
    </w:tblPr>
  </w:style>
  <w:style w:type="table" w:styleId="1076" w:customStyle="1">
    <w:name w:val="Bordered - Accent 3"/>
    <w:uiPriority w:val="99"/>
    <w:qFormat/>
    <w:tblPr>
      <w:tblCellMar>
        <w:left w:w="0" w:type="dxa"/>
        <w:top w:w="0" w:type="dxa"/>
        <w:right w:w="0" w:type="dxa"/>
        <w:bottom w:w="0" w:type="dxa"/>
      </w:tblCellMar>
    </w:tblPr>
  </w:style>
  <w:style w:type="table" w:styleId="1077" w:customStyle="1">
    <w:name w:val="Bordered - Accent 4"/>
    <w:uiPriority w:val="99"/>
    <w:qFormat/>
    <w:tblPr>
      <w:tblCellMar>
        <w:left w:w="0" w:type="dxa"/>
        <w:top w:w="0" w:type="dxa"/>
        <w:right w:w="0" w:type="dxa"/>
        <w:bottom w:w="0" w:type="dxa"/>
      </w:tblCellMar>
    </w:tblPr>
  </w:style>
  <w:style w:type="table" w:styleId="1078" w:customStyle="1">
    <w:name w:val="Bordered - Accent 5"/>
    <w:uiPriority w:val="99"/>
    <w:qFormat/>
    <w:tblPr>
      <w:tblCellMar>
        <w:left w:w="0" w:type="dxa"/>
        <w:top w:w="0" w:type="dxa"/>
        <w:right w:w="0" w:type="dxa"/>
        <w:bottom w:w="0" w:type="dxa"/>
      </w:tblCellMar>
    </w:tblPr>
  </w:style>
  <w:style w:type="table" w:styleId="1079" w:customStyle="1">
    <w:name w:val="Bordered - Accent 6"/>
    <w:uiPriority w:val="99"/>
    <w:qFormat/>
    <w:tblPr>
      <w:tblCellMar>
        <w:left w:w="0" w:type="dxa"/>
        <w:top w:w="0" w:type="dxa"/>
        <w:right w:w="0" w:type="dxa"/>
        <w:bottom w:w="0" w:type="dxa"/>
      </w:tblCellMar>
    </w:tblPr>
  </w:style>
  <w:style w:type="paragraph" w:styleId="1080" w:customStyle="1">
    <w:name w:val="TOC 标题11"/>
    <w:uiPriority w:val="39"/>
    <w:unhideWhenUsed/>
    <w:qFormat/>
    <w:rPr>
      <w:rFonts w:hint="default" w:ascii="Times New Roman" w:hAnsi="Times New Roman" w:eastAsia="宋体" w:cs="Times New Roman"/>
      <w:lang w:val="en-US" w:eastAsia="zh-CN" w:bidi="ar-SA"/>
    </w:rPr>
  </w:style>
  <w:style w:type="paragraph" w:styleId="1081" w:customStyle="1">
    <w:name w:val="标题 51"/>
    <w:basedOn w:val="775"/>
    <w:next w:val="775"/>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82" w:customStyle="1">
    <w:name w:val="标题 61"/>
    <w:basedOn w:val="775"/>
    <w:next w:val="775"/>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83" w:customStyle="1">
    <w:name w:val="标题 71"/>
    <w:basedOn w:val="775"/>
    <w:next w:val="775"/>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84" w:customStyle="1">
    <w:name w:val="标题 81"/>
    <w:basedOn w:val="775"/>
    <w:next w:val="775"/>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85" w:customStyle="1">
    <w:name w:val="标题 91"/>
    <w:basedOn w:val="775"/>
    <w:next w:val="775"/>
    <w:uiPriority w:val="0"/>
    <w:qFormat/>
    <w:pPr>
      <w:jc w:val="center"/>
      <w:keepNext/>
      <w:spacing w:line="600" w:lineRule="exact"/>
      <w:outlineLvl w:val="8"/>
    </w:pPr>
    <w:rPr>
      <w:rFonts w:ascii="仿宋_GB2312" w:eastAsia="仿宋_GB2312"/>
      <w:sz w:val="32"/>
    </w:rPr>
  </w:style>
  <w:style w:type="character" w:styleId="1086" w:customStyle="1">
    <w:name w:val="默认段落字体1"/>
    <w:uiPriority w:val="1"/>
    <w:unhideWhenUsed/>
    <w:qFormat/>
  </w:style>
  <w:style w:type="table" w:styleId="1087" w:customStyle="1">
    <w:name w:val="普通表格1"/>
    <w:uiPriority w:val="0"/>
    <w:semiHidden/>
    <w:qFormat/>
    <w:tblPr>
      <w:tblCellMar>
        <w:left w:w="0" w:type="dxa"/>
        <w:top w:w="0" w:type="dxa"/>
        <w:right w:w="0" w:type="dxa"/>
        <w:bottom w:w="0" w:type="dxa"/>
      </w:tblCellMar>
    </w:tblPr>
  </w:style>
  <w:style w:type="paragraph" w:styleId="1088" w:customStyle="1">
    <w:name w:val="列表项目符号 41"/>
    <w:basedOn w:val="775"/>
    <w:uiPriority w:val="0"/>
    <w:qFormat/>
    <w:pPr>
      <w:ind w:left="360" w:hanging="360"/>
      <w:spacing w:line="380" w:lineRule="exact"/>
      <w:tabs>
        <w:tab w:val="left" w:pos="360" w:leader="none"/>
      </w:tabs>
    </w:pPr>
    <w:rPr>
      <w:sz w:val="28"/>
    </w:rPr>
  </w:style>
  <w:style w:type="paragraph" w:styleId="1089" w:customStyle="1">
    <w:name w:val="索引 81"/>
    <w:basedOn w:val="775"/>
    <w:next w:val="775"/>
    <w:uiPriority w:val="0"/>
    <w:qFormat/>
    <w:pPr>
      <w:ind w:left="1400"/>
    </w:pPr>
  </w:style>
  <w:style w:type="paragraph" w:styleId="1090" w:customStyle="1">
    <w:name w:val="列表编号1"/>
    <w:basedOn w:val="775"/>
    <w:uiPriority w:val="0"/>
    <w:qFormat/>
    <w:pPr>
      <w:spacing w:line="360" w:lineRule="auto"/>
      <w:tabs>
        <w:tab w:val="left" w:pos="0" w:leader="none"/>
        <w:tab w:val="left" w:pos="840" w:leader="none"/>
      </w:tabs>
    </w:pPr>
  </w:style>
  <w:style w:type="paragraph" w:styleId="1091" w:customStyle="1">
    <w:name w:val="正文缩进11"/>
    <w:basedOn w:val="775"/>
    <w:uiPriority w:val="0"/>
    <w:qFormat/>
    <w:pPr>
      <w:ind w:firstLine="420"/>
    </w:pPr>
    <w:rPr>
      <w:rFonts w:ascii="宋体"/>
      <w:color w:val="000000"/>
      <w:sz w:val="24"/>
      <w:szCs w:val="20"/>
    </w:rPr>
  </w:style>
  <w:style w:type="paragraph" w:styleId="1092" w:customStyle="1">
    <w:name w:val="题注1"/>
    <w:basedOn w:val="775"/>
    <w:next w:val="775"/>
    <w:link w:val="1093"/>
    <w:uiPriority w:val="0"/>
    <w:qFormat/>
    <w:pPr>
      <w:spacing w:line="360" w:lineRule="auto"/>
      <w:tabs>
        <w:tab w:val="left" w:pos="0" w:leader="none"/>
      </w:tabs>
    </w:pPr>
    <w:rPr>
      <w:rFonts w:ascii="Arial" w:hAnsi="Arial" w:eastAsia="黑体"/>
      <w:sz w:val="20"/>
      <w:szCs w:val="20"/>
    </w:rPr>
  </w:style>
  <w:style w:type="character" w:styleId="1093" w:customStyle="1">
    <w:name w:val="题注 字符"/>
    <w:link w:val="1092"/>
    <w:uiPriority w:val="0"/>
    <w:qFormat/>
    <w:rPr>
      <w:rFonts w:ascii="Arial" w:hAnsi="Arial" w:eastAsia="黑体" w:cs="Arial"/>
    </w:rPr>
  </w:style>
  <w:style w:type="paragraph" w:styleId="1094" w:customStyle="1">
    <w:name w:val="索引 51"/>
    <w:basedOn w:val="775"/>
    <w:next w:val="775"/>
    <w:uiPriority w:val="0"/>
    <w:qFormat/>
    <w:pPr>
      <w:ind w:left="800"/>
    </w:pPr>
  </w:style>
  <w:style w:type="paragraph" w:styleId="1095" w:customStyle="1">
    <w:name w:val="列表项目符号1"/>
    <w:basedOn w:val="775"/>
    <w:uiPriority w:val="0"/>
    <w:qFormat/>
    <w:pPr>
      <w:ind w:left="962" w:hanging="480"/>
      <w:spacing w:line="360" w:lineRule="auto"/>
      <w:tabs>
        <w:tab w:val="left" w:pos="840" w:leader="none"/>
      </w:tabs>
    </w:pPr>
    <w:rPr>
      <w:sz w:val="24"/>
    </w:rPr>
  </w:style>
  <w:style w:type="paragraph" w:styleId="1096" w:customStyle="1">
    <w:name w:val="文档结构图1"/>
    <w:basedOn w:val="775"/>
    <w:uiPriority w:val="0"/>
    <w:qFormat/>
    <w:pPr>
      <w:shd w:val="clear" w:color="auto" w:fill="000080"/>
    </w:pPr>
  </w:style>
  <w:style w:type="paragraph" w:styleId="1097" w:customStyle="1">
    <w:name w:val="批注文字1"/>
    <w:basedOn w:val="775"/>
    <w:link w:val="1098"/>
    <w:uiPriority w:val="99"/>
    <w:qFormat/>
    <w:pPr>
      <w:jc w:val="left"/>
    </w:pPr>
    <w:rPr>
      <w:szCs w:val="20"/>
    </w:rPr>
  </w:style>
  <w:style w:type="character" w:styleId="1098" w:customStyle="1">
    <w:name w:val="批注文字 字符"/>
    <w:link w:val="1097"/>
    <w:uiPriority w:val="99"/>
    <w:qFormat/>
    <w:rPr>
      <w:rFonts w:ascii="Calibri" w:hAnsi="Calibri" w:eastAsia="宋体" w:cs="Times New Roman"/>
      <w:sz w:val="21"/>
    </w:rPr>
  </w:style>
  <w:style w:type="paragraph" w:styleId="1099" w:customStyle="1">
    <w:name w:val="索引 61"/>
    <w:basedOn w:val="775"/>
    <w:next w:val="775"/>
    <w:uiPriority w:val="0"/>
    <w:qFormat/>
    <w:pPr>
      <w:ind w:left="1000"/>
    </w:pPr>
  </w:style>
  <w:style w:type="paragraph" w:styleId="1100" w:customStyle="1">
    <w:name w:val="正文文本 31"/>
    <w:basedOn w:val="775"/>
    <w:uiPriority w:val="0"/>
    <w:qFormat/>
    <w:rPr>
      <w:color w:val="000000"/>
    </w:rPr>
  </w:style>
  <w:style w:type="paragraph" w:styleId="1101" w:customStyle="1">
    <w:name w:val="列表项目符号 31"/>
    <w:basedOn w:val="775"/>
    <w:uiPriority w:val="0"/>
    <w:qFormat/>
    <w:pPr>
      <w:ind w:left="1200" w:hanging="360"/>
      <w:spacing w:line="380" w:lineRule="exact"/>
      <w:tabs>
        <w:tab w:val="left" w:pos="1200" w:leader="none"/>
      </w:tabs>
    </w:pPr>
    <w:rPr>
      <w:sz w:val="28"/>
    </w:rPr>
  </w:style>
  <w:style w:type="paragraph" w:styleId="1102" w:customStyle="1">
    <w:name w:val="正文文本1"/>
    <w:basedOn w:val="775"/>
    <w:uiPriority w:val="0"/>
    <w:qFormat/>
    <w:pPr>
      <w:spacing w:line="60" w:lineRule="auto"/>
    </w:pPr>
    <w:rPr>
      <w:rFonts w:ascii="仿宋_GB2312" w:eastAsia="仿宋_GB2312"/>
      <w:sz w:val="32"/>
    </w:rPr>
  </w:style>
  <w:style w:type="paragraph" w:styleId="1103" w:customStyle="1">
    <w:name w:val="正文文本缩进1"/>
    <w:basedOn w:val="775"/>
    <w:uiPriority w:val="0"/>
    <w:qFormat/>
    <w:pPr>
      <w:ind w:firstLine="225"/>
    </w:pPr>
    <w:rPr>
      <w:rFonts w:ascii="仿宋_GB2312" w:eastAsia="仿宋_GB2312"/>
      <w:sz w:val="32"/>
    </w:rPr>
  </w:style>
  <w:style w:type="paragraph" w:styleId="1104" w:customStyle="1">
    <w:name w:val="文本块1"/>
    <w:basedOn w:val="775"/>
    <w:uiPriority w:val="0"/>
    <w:qFormat/>
    <w:pPr>
      <w:ind w:left="1548" w:right="12" w:hanging="2405"/>
      <w:spacing w:line="360" w:lineRule="exact"/>
    </w:pPr>
    <w:rPr>
      <w:rFonts w:ascii="宋体"/>
      <w:bCs/>
      <w:sz w:val="28"/>
    </w:rPr>
  </w:style>
  <w:style w:type="paragraph" w:styleId="1105" w:customStyle="1">
    <w:name w:val="列表项目符号 21"/>
    <w:basedOn w:val="775"/>
    <w:uiPriority w:val="0"/>
    <w:qFormat/>
    <w:pPr>
      <w:ind w:left="720" w:hanging="360"/>
      <w:spacing w:line="360" w:lineRule="auto"/>
      <w:tabs>
        <w:tab w:val="left" w:pos="720" w:leader="none"/>
      </w:tabs>
    </w:pPr>
    <w:rPr>
      <w:sz w:val="24"/>
    </w:rPr>
  </w:style>
  <w:style w:type="paragraph" w:styleId="1106" w:customStyle="1">
    <w:name w:val="HTML 地址1"/>
    <w:basedOn w:val="775"/>
    <w:uiPriority w:val="0"/>
    <w:qFormat/>
    <w:rPr>
      <w:i/>
      <w:iCs/>
    </w:rPr>
  </w:style>
  <w:style w:type="paragraph" w:styleId="1107" w:customStyle="1">
    <w:name w:val="索引 41"/>
    <w:basedOn w:val="775"/>
    <w:next w:val="775"/>
    <w:uiPriority w:val="0"/>
    <w:qFormat/>
    <w:pPr>
      <w:ind w:left="600"/>
    </w:pPr>
  </w:style>
  <w:style w:type="paragraph" w:styleId="1108" w:customStyle="1">
    <w:name w:val="纯文本11"/>
    <w:basedOn w:val="775"/>
    <w:link w:val="1109"/>
    <w:uiPriority w:val="0"/>
    <w:qFormat/>
    <w:rPr>
      <w:rFonts w:ascii="宋体"/>
      <w:szCs w:val="21"/>
    </w:rPr>
  </w:style>
  <w:style w:type="character" w:styleId="1109" w:customStyle="1">
    <w:name w:val="纯文本 字符"/>
    <w:link w:val="1108"/>
    <w:uiPriority w:val="0"/>
    <w:qFormat/>
    <w:rPr>
      <w:rFonts w:ascii="宋体" w:hAnsi="Calibri" w:eastAsia="宋体"/>
      <w:sz w:val="21"/>
      <w:szCs w:val="21"/>
      <w:lang w:val="en-US" w:eastAsia="zh-CN" w:bidi="ar-SA"/>
    </w:rPr>
  </w:style>
  <w:style w:type="paragraph" w:styleId="1110" w:customStyle="1">
    <w:name w:val="列表项目符号 51"/>
    <w:basedOn w:val="775"/>
    <w:uiPriority w:val="0"/>
    <w:qFormat/>
    <w:pPr>
      <w:ind w:left="720" w:hanging="360"/>
      <w:spacing w:line="380" w:lineRule="exact"/>
      <w:tabs>
        <w:tab w:val="left" w:pos="720" w:leader="none"/>
      </w:tabs>
    </w:pPr>
    <w:rPr>
      <w:sz w:val="28"/>
    </w:rPr>
  </w:style>
  <w:style w:type="paragraph" w:styleId="1111" w:customStyle="1">
    <w:name w:val="索引 31"/>
    <w:basedOn w:val="775"/>
    <w:next w:val="775"/>
    <w:uiPriority w:val="0"/>
    <w:qFormat/>
    <w:pPr>
      <w:ind w:left="400"/>
    </w:pPr>
  </w:style>
  <w:style w:type="paragraph" w:styleId="1112" w:customStyle="1">
    <w:name w:val="日期1"/>
    <w:basedOn w:val="775"/>
    <w:next w:val="775"/>
    <w:uiPriority w:val="0"/>
    <w:qFormat/>
    <w:pPr>
      <w:ind w:left="2500"/>
    </w:pPr>
  </w:style>
  <w:style w:type="paragraph" w:styleId="1113" w:customStyle="1">
    <w:name w:val="正文文本缩进 21"/>
    <w:basedOn w:val="775"/>
    <w:uiPriority w:val="0"/>
    <w:qFormat/>
    <w:pPr>
      <w:ind w:firstLine="225"/>
      <w:jc w:val="left"/>
      <w:spacing w:line="540" w:lineRule="exact"/>
    </w:pPr>
    <w:rPr>
      <w:rFonts w:ascii="仿宋_GB2312" w:eastAsia="仿宋_GB2312"/>
      <w:sz w:val="32"/>
    </w:rPr>
  </w:style>
  <w:style w:type="paragraph" w:styleId="1114" w:customStyle="1">
    <w:name w:val="尾注文本1"/>
    <w:basedOn w:val="775"/>
    <w:uiPriority w:val="0"/>
    <w:qFormat/>
    <w:pPr>
      <w:jc w:val="left"/>
      <w:widowControl/>
    </w:pPr>
    <w:rPr>
      <w:rFonts w:ascii="宋体"/>
      <w:bCs/>
      <w:szCs w:val="21"/>
    </w:rPr>
  </w:style>
  <w:style w:type="paragraph" w:styleId="1115" w:customStyle="1">
    <w:name w:val="批注框文本1"/>
    <w:basedOn w:val="775"/>
    <w:uiPriority w:val="0"/>
    <w:qFormat/>
    <w:rPr>
      <w:sz w:val="18"/>
      <w:szCs w:val="20"/>
    </w:rPr>
  </w:style>
  <w:style w:type="paragraph" w:styleId="1116" w:customStyle="1">
    <w:name w:val="页脚1"/>
    <w:basedOn w:val="775"/>
    <w:uiPriority w:val="0"/>
    <w:qFormat/>
    <w:pPr>
      <w:jc w:val="left"/>
      <w:tabs>
        <w:tab w:val="center" w:pos="4153" w:leader="none"/>
        <w:tab w:val="right" w:pos="8306" w:leader="none"/>
      </w:tabs>
    </w:pPr>
    <w:rPr>
      <w:sz w:val="18"/>
      <w:szCs w:val="18"/>
    </w:rPr>
  </w:style>
  <w:style w:type="paragraph" w:styleId="1117" w:customStyle="1">
    <w:name w:val="页眉1"/>
    <w:basedOn w:val="775"/>
    <w:uiPriority w:val="0"/>
    <w:qFormat/>
    <w:pPr>
      <w:jc w:val="center"/>
      <w:tabs>
        <w:tab w:val="center" w:pos="4153" w:leader="none"/>
        <w:tab w:val="right" w:pos="8306" w:leader="none"/>
      </w:tabs>
      <w:pBdr>
        <w:bottom w:val="single" w:color="000000" w:sz="6" w:space="1"/>
      </w:pBdr>
    </w:pPr>
    <w:rPr>
      <w:sz w:val="18"/>
      <w:szCs w:val="18"/>
    </w:rPr>
  </w:style>
  <w:style w:type="paragraph" w:styleId="1118" w:customStyle="1">
    <w:name w:val="索引标题1"/>
    <w:basedOn w:val="775"/>
    <w:next w:val="1119"/>
    <w:uiPriority w:val="0"/>
    <w:qFormat/>
  </w:style>
  <w:style w:type="paragraph" w:styleId="1119" w:customStyle="1">
    <w:name w:val="索引 111"/>
    <w:basedOn w:val="775"/>
    <w:next w:val="775"/>
    <w:uiPriority w:val="0"/>
    <w:qFormat/>
  </w:style>
  <w:style w:type="paragraph" w:styleId="1120" w:customStyle="1">
    <w:name w:val="正文文本缩进 31"/>
    <w:basedOn w:val="775"/>
    <w:uiPriority w:val="0"/>
    <w:qFormat/>
    <w:pPr>
      <w:ind w:firstLine="213"/>
    </w:pPr>
    <w:rPr>
      <w:rFonts w:ascii="仿宋_GB2312" w:eastAsia="仿宋_GB2312"/>
      <w:sz w:val="30"/>
    </w:rPr>
  </w:style>
  <w:style w:type="paragraph" w:styleId="1121" w:customStyle="1">
    <w:name w:val="索引 71"/>
    <w:basedOn w:val="775"/>
    <w:next w:val="775"/>
    <w:uiPriority w:val="0"/>
    <w:qFormat/>
    <w:pPr>
      <w:ind w:left="1200"/>
    </w:pPr>
  </w:style>
  <w:style w:type="paragraph" w:styleId="1122" w:customStyle="1">
    <w:name w:val="索引 91"/>
    <w:basedOn w:val="775"/>
    <w:next w:val="775"/>
    <w:uiPriority w:val="0"/>
    <w:qFormat/>
    <w:pPr>
      <w:ind w:left="1600"/>
    </w:pPr>
  </w:style>
  <w:style w:type="paragraph" w:styleId="1123" w:customStyle="1">
    <w:name w:val="图表目录11"/>
    <w:basedOn w:val="775"/>
    <w:next w:val="775"/>
    <w:uiPriority w:val="0"/>
    <w:qFormat/>
    <w:pPr>
      <w:ind w:left="400" w:hanging="200"/>
      <w:jc w:val="left"/>
      <w:widowControl/>
    </w:pPr>
    <w:rPr>
      <w:rFonts w:ascii="宋体"/>
      <w:bCs/>
      <w:szCs w:val="21"/>
    </w:rPr>
  </w:style>
  <w:style w:type="paragraph" w:styleId="1124" w:customStyle="1">
    <w:name w:val="正文文本 21"/>
    <w:basedOn w:val="775"/>
    <w:uiPriority w:val="0"/>
    <w:qFormat/>
    <w:pPr>
      <w:spacing w:line="560" w:lineRule="exact"/>
    </w:pPr>
    <w:rPr>
      <w:rFonts w:ascii="仿宋_GB2312" w:eastAsia="仿宋_GB2312"/>
      <w:sz w:val="28"/>
      <w:szCs w:val="30"/>
    </w:rPr>
  </w:style>
  <w:style w:type="paragraph" w:styleId="1125" w:customStyle="1">
    <w:name w:val="列表接续 21"/>
    <w:basedOn w:val="775"/>
    <w:uiPriority w:val="0"/>
    <w:qFormat/>
    <w:pPr>
      <w:ind w:left="840"/>
      <w:spacing w:after="120"/>
    </w:pPr>
  </w:style>
  <w:style w:type="paragraph" w:styleId="1126" w:customStyle="1">
    <w:name w:val="HTML 预设格式1"/>
    <w:basedOn w:val="77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127" w:customStyle="1">
    <w:name w:val="普通(网站)1"/>
    <w:basedOn w:val="775"/>
    <w:uiPriority w:val="99"/>
    <w:qFormat/>
    <w:pPr>
      <w:jc w:val="left"/>
      <w:spacing w:before="100" w:beforeAutospacing="1" w:after="100" w:afterAutospacing="1"/>
      <w:widowControl/>
    </w:pPr>
    <w:rPr>
      <w:rFonts w:ascii="宋体"/>
      <w:sz w:val="24"/>
      <w:szCs w:val="20"/>
    </w:rPr>
  </w:style>
  <w:style w:type="paragraph" w:styleId="1128" w:customStyle="1">
    <w:name w:val="索引 21"/>
    <w:basedOn w:val="775"/>
    <w:next w:val="775"/>
    <w:uiPriority w:val="0"/>
    <w:qFormat/>
    <w:pPr>
      <w:ind w:left="200"/>
    </w:pPr>
  </w:style>
  <w:style w:type="paragraph" w:styleId="1129" w:customStyle="1">
    <w:name w:val="标题1"/>
    <w:basedOn w:val="775"/>
    <w:uiPriority w:val="0"/>
    <w:qFormat/>
    <w:pPr>
      <w:jc w:val="center"/>
      <w:spacing w:before="240" w:after="60"/>
      <w:outlineLvl w:val="0"/>
    </w:pPr>
    <w:rPr>
      <w:rFonts w:ascii="Cambria" w:hAnsi="Cambria"/>
      <w:b/>
      <w:bCs/>
      <w:sz w:val="32"/>
      <w:szCs w:val="32"/>
    </w:rPr>
  </w:style>
  <w:style w:type="paragraph" w:styleId="1130" w:customStyle="1">
    <w:name w:val="批注主题1"/>
    <w:basedOn w:val="1097"/>
    <w:next w:val="1097"/>
    <w:uiPriority w:val="0"/>
    <w:qFormat/>
    <w:rPr>
      <w:b/>
    </w:rPr>
  </w:style>
  <w:style w:type="paragraph" w:styleId="1131" w:customStyle="1">
    <w:name w:val="正文文本首行缩进1"/>
    <w:basedOn w:val="1102"/>
    <w:uiPriority w:val="0"/>
    <w:qFormat/>
    <w:pPr>
      <w:ind w:firstLine="100"/>
      <w:spacing w:after="120" w:line="240" w:lineRule="auto"/>
    </w:pPr>
    <w:rPr>
      <w:rFonts w:ascii="Times New Roman" w:hAnsi="Times New Roman" w:eastAsia="宋体"/>
      <w:sz w:val="21"/>
    </w:rPr>
  </w:style>
  <w:style w:type="paragraph" w:styleId="1132" w:customStyle="1">
    <w:name w:val="正文文本首行缩进 211"/>
    <w:basedOn w:val="933"/>
    <w:link w:val="1133"/>
    <w:uiPriority w:val="0"/>
    <w:qFormat/>
    <w:pPr>
      <w:ind w:left="200" w:firstLine="200"/>
    </w:pPr>
    <w:rPr>
      <w:rFonts w:ascii="Times New Roman" w:hAnsi="Times New Roman"/>
      <w:sz w:val="24"/>
      <w:szCs w:val="24"/>
    </w:rPr>
  </w:style>
  <w:style w:type="character" w:styleId="1133" w:customStyle="1">
    <w:name w:val="正文文本首行缩进 2 字符"/>
    <w:link w:val="1132"/>
    <w:uiPriority w:val="0"/>
    <w:qFormat/>
    <w:rPr>
      <w:rFonts w:eastAsia="仿宋_GB2312"/>
      <w:sz w:val="24"/>
      <w:szCs w:val="24"/>
      <w:lang w:bidi="ar-SA"/>
    </w:rPr>
  </w:style>
  <w:style w:type="table" w:styleId="1134" w:customStyle="1">
    <w:name w:val="网格型1"/>
    <w:basedOn w:val="1087"/>
    <w:uiPriority w:val="0"/>
    <w:qFormat/>
    <w:tblPr/>
  </w:style>
  <w:style w:type="character" w:styleId="1135" w:customStyle="1">
    <w:name w:val="要点1"/>
    <w:uiPriority w:val="0"/>
    <w:qFormat/>
    <w:rPr>
      <w:b/>
    </w:rPr>
  </w:style>
  <w:style w:type="character" w:styleId="1136" w:customStyle="1">
    <w:name w:val="尾注引用1"/>
    <w:uiPriority w:val="0"/>
    <w:qFormat/>
    <w:rPr>
      <w:vertAlign w:val="superscript"/>
    </w:rPr>
  </w:style>
  <w:style w:type="character" w:styleId="1137" w:customStyle="1">
    <w:name w:val="页码1"/>
    <w:uiPriority w:val="0"/>
    <w:qFormat/>
  </w:style>
  <w:style w:type="character" w:styleId="1138" w:customStyle="1">
    <w:name w:val="访问过的超链接1"/>
    <w:uiPriority w:val="0"/>
    <w:qFormat/>
    <w:rPr>
      <w:color w:val="800080"/>
      <w:u w:val="single"/>
    </w:rPr>
  </w:style>
  <w:style w:type="character" w:styleId="1139" w:customStyle="1">
    <w:name w:val="强调1"/>
    <w:uiPriority w:val="0"/>
    <w:qFormat/>
    <w:rPr>
      <w:color w:val="cc0033"/>
    </w:rPr>
  </w:style>
  <w:style w:type="character" w:styleId="1140" w:customStyle="1">
    <w:name w:val="HTML 打字机1"/>
    <w:uiPriority w:val="0"/>
    <w:qFormat/>
    <w:rPr>
      <w:rFonts w:ascii="宋体" w:eastAsia="宋体" w:cs="宋体"/>
      <w:sz w:val="24"/>
      <w:szCs w:val="24"/>
      <w:lang w:bidi="ar-SA"/>
    </w:rPr>
  </w:style>
  <w:style w:type="character" w:styleId="1141" w:customStyle="1">
    <w:name w:val="超链接1"/>
    <w:basedOn w:val="925"/>
    <w:link w:val="775"/>
    <w:uiPriority w:val="99"/>
    <w:qFormat/>
    <w:rPr>
      <w:rFonts w:ascii="Calibri" w:hAnsi="Calibri" w:eastAsia="宋体" w:cs="Times New Roman"/>
      <w:sz w:val="21"/>
      <w:szCs w:val="22"/>
      <w:lang w:val="en-US" w:eastAsia="zh-CN" w:bidi="ar-SA"/>
    </w:rPr>
  </w:style>
  <w:style w:type="character" w:styleId="1142" w:customStyle="1">
    <w:name w:val="批注引用1"/>
    <w:uiPriority w:val="0"/>
    <w:qFormat/>
    <w:rPr>
      <w:sz w:val="21"/>
    </w:rPr>
  </w:style>
  <w:style w:type="character" w:styleId="1143" w:customStyle="1">
    <w:name w:val="脚注引用1"/>
    <w:uiPriority w:val="0"/>
    <w:qFormat/>
    <w:rPr>
      <w:vertAlign w:val="superscript"/>
    </w:rPr>
  </w:style>
  <w:style w:type="paragraph" w:styleId="1144" w:customStyle="1">
    <w:name w:val="正文（标记）"/>
    <w:basedOn w:val="775"/>
    <w:link w:val="1145"/>
    <w:uiPriority w:val="0"/>
    <w:qFormat/>
    <w:pPr>
      <w:spacing w:before="50" w:after="50"/>
      <w:tabs>
        <w:tab w:val="left" w:pos="0" w:leader="none"/>
        <w:tab w:val="left" w:pos="840" w:leader="none"/>
      </w:tabs>
    </w:pPr>
    <w:rPr>
      <w:rFonts w:ascii="Times New Roman" w:hAnsi="Times New Roman"/>
      <w:sz w:val="24"/>
      <w:szCs w:val="24"/>
    </w:rPr>
  </w:style>
  <w:style w:type="character" w:styleId="1145" w:customStyle="1">
    <w:name w:val="正文（标记） Char2"/>
    <w:link w:val="1144"/>
    <w:uiPriority w:val="0"/>
    <w:qFormat/>
    <w:rPr>
      <w:sz w:val="24"/>
      <w:szCs w:val="24"/>
    </w:rPr>
  </w:style>
  <w:style w:type="character" w:styleId="1146" w:customStyle="1">
    <w:name w:val="Char Char2"/>
    <w:uiPriority w:val="0"/>
    <w:qFormat/>
    <w:rPr>
      <w:sz w:val="18"/>
      <w:szCs w:val="18"/>
    </w:rPr>
  </w:style>
  <w:style w:type="character" w:styleId="1147" w:customStyle="1">
    <w:name w:val="maywed421"/>
    <w:uiPriority w:val="0"/>
    <w:qFormat/>
    <w:rPr>
      <w:color w:val="366fb6"/>
      <w:u w:val="none"/>
    </w:rPr>
  </w:style>
  <w:style w:type="paragraph" w:styleId="1148"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49"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50" w:customStyle="1">
    <w:name w:val="Comment Text Char"/>
    <w:uiPriority w:val="0"/>
    <w:qFormat/>
    <w:rPr>
      <w:rFonts w:cs="Times New Roman"/>
      <w:sz w:val="21"/>
      <w:szCs w:val="21"/>
      <w:lang w:bidi="ar-SA"/>
    </w:rPr>
  </w:style>
  <w:style w:type="character" w:styleId="1151" w:customStyle="1">
    <w:name w:val="Footer Char"/>
    <w:uiPriority w:val="0"/>
    <w:qFormat/>
    <w:rPr>
      <w:rFonts w:eastAsia="宋体"/>
      <w:sz w:val="18"/>
      <w:lang w:val="en-US" w:eastAsia="zh-CN"/>
    </w:rPr>
  </w:style>
  <w:style w:type="character" w:styleId="1152" w:customStyle="1">
    <w:name w:val="ca-41"/>
    <w:uiPriority w:val="0"/>
    <w:qFormat/>
    <w:rPr>
      <w:rFonts w:ascii="宋体" w:eastAsia="宋体"/>
      <w:b/>
      <w:bCs/>
      <w:color w:val="000000"/>
      <w:spacing w:val="-20"/>
      <w:sz w:val="21"/>
      <w:szCs w:val="21"/>
    </w:rPr>
  </w:style>
  <w:style w:type="character" w:styleId="1153" w:customStyle="1">
    <w:name w:val="ca-1"/>
    <w:uiPriority w:val="0"/>
    <w:qFormat/>
  </w:style>
  <w:style w:type="character" w:styleId="1154" w:customStyle="1">
    <w:name w:val="Plain Text Char"/>
    <w:uiPriority w:val="0"/>
    <w:qFormat/>
    <w:rPr>
      <w:rFonts w:ascii="宋体" w:eastAsia="宋体"/>
      <w:sz w:val="21"/>
      <w:lang w:val="en-US" w:eastAsia="zh-CN"/>
    </w:rPr>
  </w:style>
  <w:style w:type="character" w:styleId="1155" w:customStyle="1">
    <w:name w:val="Header Char"/>
    <w:uiPriority w:val="0"/>
    <w:qFormat/>
    <w:rPr>
      <w:rFonts w:eastAsia="宋体"/>
      <w:sz w:val="18"/>
      <w:lang w:val="en-US" w:eastAsia="zh-CN"/>
    </w:rPr>
  </w:style>
  <w:style w:type="character" w:styleId="1156" w:customStyle="1">
    <w:name w:val="marklong"/>
    <w:uiPriority w:val="0"/>
    <w:qFormat/>
  </w:style>
  <w:style w:type="character" w:styleId="1157" w:customStyle="1">
    <w:name w:val="普通文字1 Char"/>
    <w:uiPriority w:val="0"/>
    <w:qFormat/>
    <w:rPr>
      <w:rFonts w:ascii="宋体" w:eastAsia="宋体" w:cs="Courier New"/>
      <w:sz w:val="21"/>
      <w:szCs w:val="21"/>
      <w:lang w:val="en-US" w:eastAsia="zh-CN" w:bidi="ar-SA"/>
    </w:rPr>
  </w:style>
  <w:style w:type="character" w:styleId="1158" w:customStyle="1">
    <w:name w:val="ca-21"/>
    <w:uiPriority w:val="0"/>
    <w:qFormat/>
    <w:rPr>
      <w:rFonts w:ascii="宋体" w:eastAsia="宋体"/>
      <w:sz w:val="21"/>
    </w:rPr>
  </w:style>
  <w:style w:type="paragraph" w:styleId="1159" w:customStyle="1">
    <w:name w:val="正文（缩进）"/>
    <w:basedOn w:val="775"/>
    <w:uiPriority w:val="0"/>
    <w:qFormat/>
    <w:pPr>
      <w:ind w:firstLine="200"/>
      <w:spacing w:before="50" w:after="50" w:line="360" w:lineRule="auto"/>
    </w:pPr>
    <w:rPr>
      <w:sz w:val="24"/>
    </w:rPr>
  </w:style>
  <w:style w:type="character" w:styleId="1160" w:customStyle="1">
    <w:name w:val="Heading 3 Char"/>
    <w:uiPriority w:val="0"/>
    <w:qFormat/>
    <w:rPr>
      <w:rFonts w:cs="Times New Roman"/>
      <w:b/>
      <w:bCs/>
      <w:sz w:val="32"/>
      <w:szCs w:val="32"/>
      <w:lang w:bidi="ar-SA"/>
    </w:rPr>
  </w:style>
  <w:style w:type="character" w:styleId="1161" w:customStyle="1">
    <w:name w:val="z12 style23"/>
    <w:uiPriority w:val="0"/>
    <w:qFormat/>
  </w:style>
  <w:style w:type="paragraph" w:styleId="1162" w:customStyle="1">
    <w:name w:val="Indent Normal"/>
    <w:basedOn w:val="775"/>
    <w:uiPriority w:val="0"/>
    <w:qFormat/>
    <w:pPr>
      <w:ind w:firstLine="150"/>
    </w:pPr>
    <w:rPr>
      <w:sz w:val="24"/>
      <w:szCs w:val="20"/>
    </w:rPr>
  </w:style>
  <w:style w:type="character" w:styleId="1163" w:customStyle="1">
    <w:name w:val="Char Char21"/>
    <w:uiPriority w:val="0"/>
    <w:qFormat/>
    <w:rPr>
      <w:sz w:val="18"/>
      <w:szCs w:val="18"/>
    </w:rPr>
  </w:style>
  <w:style w:type="character" w:styleId="1164" w:customStyle="1">
    <w:name w:val="ca-31"/>
    <w:uiPriority w:val="0"/>
    <w:qFormat/>
    <w:rPr>
      <w:rFonts w:ascii="宋体" w:eastAsia="宋体"/>
      <w:color w:val="000000"/>
      <w:sz w:val="21"/>
      <w:szCs w:val="21"/>
    </w:rPr>
  </w:style>
  <w:style w:type="character" w:styleId="1165" w:customStyle="1">
    <w:name w:val="apple-converted-space"/>
    <w:uiPriority w:val="0"/>
    <w:qFormat/>
  </w:style>
  <w:style w:type="character" w:styleId="1166" w:customStyle="1">
    <w:name w:val="Char Char1"/>
    <w:uiPriority w:val="0"/>
    <w:qFormat/>
    <w:rPr>
      <w:rFonts w:ascii="宋体" w:eastAsia="宋体"/>
      <w:sz w:val="21"/>
      <w:lang w:val="en-US" w:eastAsia="zh-CN"/>
    </w:rPr>
  </w:style>
  <w:style w:type="character" w:styleId="1167" w:customStyle="1">
    <w:name w:val="font21"/>
    <w:uiPriority w:val="0"/>
    <w:qFormat/>
    <w:rPr>
      <w:rFonts w:ascii="Times New Roman" w:hAnsi="Times New Roman"/>
      <w:color w:val="000000"/>
      <w:sz w:val="20"/>
      <w:u w:val="none"/>
    </w:rPr>
  </w:style>
  <w:style w:type="character" w:styleId="1168" w:customStyle="1">
    <w:name w:val="ca-01"/>
    <w:uiPriority w:val="0"/>
    <w:qFormat/>
    <w:rPr>
      <w:rFonts w:ascii="宋体" w:eastAsia="宋体"/>
      <w:b/>
      <w:bCs/>
      <w:spacing w:val="-20"/>
      <w:sz w:val="24"/>
      <w:szCs w:val="24"/>
    </w:rPr>
  </w:style>
  <w:style w:type="character" w:styleId="1169" w:customStyle="1">
    <w:name w:val="Char Char23"/>
    <w:uiPriority w:val="0"/>
    <w:qFormat/>
    <w:rPr>
      <w:sz w:val="24"/>
      <w:szCs w:val="21"/>
      <w:lang w:bidi="ar-SA"/>
    </w:rPr>
  </w:style>
  <w:style w:type="character" w:styleId="1170" w:customStyle="1">
    <w:name w:val="Char Char"/>
    <w:uiPriority w:val="0"/>
    <w:qFormat/>
    <w:rPr>
      <w:rFonts w:eastAsia="宋体"/>
      <w:sz w:val="18"/>
      <w:lang w:val="en-US" w:eastAsia="zh-CN"/>
    </w:rPr>
  </w:style>
  <w:style w:type="character" w:styleId="1171" w:customStyle="1">
    <w:name w:val="Char Char3"/>
    <w:uiPriority w:val="0"/>
    <w:qFormat/>
    <w:rPr>
      <w:rFonts w:ascii="宋体" w:eastAsia="宋体"/>
      <w:sz w:val="18"/>
      <w:szCs w:val="18"/>
      <w:lang w:val="en-US" w:eastAsia="zh-CN" w:bidi="ar-SA"/>
    </w:rPr>
  </w:style>
  <w:style w:type="paragraph" w:styleId="1172"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73" w:customStyle="1">
    <w:name w:val="Heading 4 Char"/>
    <w:uiPriority w:val="0"/>
    <w:qFormat/>
    <w:rPr>
      <w:rFonts w:ascii="Cambria" w:hAnsi="Cambria" w:eastAsia="宋体" w:cs="Cambria"/>
      <w:b/>
      <w:bCs/>
      <w:sz w:val="28"/>
      <w:szCs w:val="28"/>
      <w:lang w:bidi="ar-SA"/>
    </w:rPr>
  </w:style>
  <w:style w:type="character" w:styleId="1174" w:customStyle="1">
    <w:name w:val="Header Char1"/>
    <w:uiPriority w:val="0"/>
    <w:qFormat/>
    <w:rPr>
      <w:rFonts w:cs="Times New Roman"/>
      <w:sz w:val="18"/>
      <w:szCs w:val="18"/>
      <w:lang w:bidi="ar-SA"/>
    </w:rPr>
  </w:style>
  <w:style w:type="character" w:styleId="1175" w:customStyle="1">
    <w:name w:val="Footer Char1"/>
    <w:uiPriority w:val="0"/>
    <w:qFormat/>
    <w:rPr>
      <w:rFonts w:cs="Times New Roman"/>
      <w:sz w:val="18"/>
      <w:szCs w:val="18"/>
      <w:lang w:bidi="ar-SA"/>
    </w:rPr>
  </w:style>
  <w:style w:type="character" w:styleId="1176" w:customStyle="1">
    <w:name w:val="wj1"/>
    <w:uiPriority w:val="0"/>
    <w:qFormat/>
    <w:rPr>
      <w:color w:val="000000"/>
      <w:sz w:val="18"/>
      <w:szCs w:val="18"/>
      <w:u w:val="none"/>
    </w:rPr>
  </w:style>
  <w:style w:type="character" w:styleId="1177" w:customStyle="1">
    <w:name w:val="ca-11"/>
    <w:uiPriority w:val="0"/>
    <w:qFormat/>
    <w:rPr>
      <w:rFonts w:ascii="宋体" w:eastAsia="宋体"/>
      <w:b/>
      <w:bCs/>
      <w:color w:val="000000"/>
      <w:spacing w:val="-20"/>
      <w:sz w:val="28"/>
      <w:szCs w:val="28"/>
    </w:rPr>
  </w:style>
  <w:style w:type="paragraph" w:styleId="1178"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79" w:customStyle="1">
    <w:name w:val="Plain Text Char1"/>
    <w:uiPriority w:val="0"/>
    <w:qFormat/>
    <w:rPr>
      <w:rFonts w:ascii="宋体" w:eastAsia="宋体"/>
      <w:sz w:val="21"/>
      <w:szCs w:val="21"/>
      <w:lang w:val="en-US" w:eastAsia="zh-CN" w:bidi="ar-SA"/>
    </w:rPr>
  </w:style>
  <w:style w:type="character" w:styleId="1180" w:customStyle="1">
    <w:name w:val="段落 Char"/>
    <w:uiPriority w:val="0"/>
    <w:qFormat/>
    <w:rPr>
      <w:rFonts w:ascii="仿宋_GB2312" w:eastAsia="仿宋_GB2312"/>
      <w:sz w:val="24"/>
      <w:szCs w:val="24"/>
      <w:lang w:val="en-US" w:eastAsia="zh-CN" w:bidi="ar-SA"/>
    </w:rPr>
  </w:style>
  <w:style w:type="character" w:styleId="1181" w:customStyle="1">
    <w:name w:val="Heading 2 Char"/>
    <w:uiPriority w:val="0"/>
    <w:qFormat/>
    <w:rPr>
      <w:rFonts w:ascii="Arial" w:hAnsi="Arial" w:eastAsia="黑体"/>
      <w:b/>
      <w:bCs/>
      <w:sz w:val="32"/>
      <w:szCs w:val="32"/>
      <w:lang w:val="en-US" w:eastAsia="zh-CN" w:bidi="ar-SA"/>
    </w:rPr>
  </w:style>
  <w:style w:type="paragraph" w:styleId="1182"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83" w:customStyle="1">
    <w:name w:val="Char Char31"/>
    <w:uiPriority w:val="0"/>
    <w:qFormat/>
    <w:rPr>
      <w:rFonts w:ascii="Arial" w:hAnsi="Arial" w:eastAsia="黑体" w:cs="Times New Roman"/>
      <w:b/>
      <w:bCs/>
      <w:sz w:val="32"/>
      <w:szCs w:val="32"/>
      <w:lang w:val="en-US" w:eastAsia="zh-CN" w:bidi="ar-SA"/>
    </w:rPr>
  </w:style>
  <w:style w:type="paragraph" w:styleId="1184" w:customStyle="1">
    <w:name w:val="正文（黑体）"/>
    <w:basedOn w:val="775"/>
    <w:next w:val="775"/>
    <w:uiPriority w:val="0"/>
    <w:qFormat/>
    <w:pPr>
      <w:ind w:firstLine="200"/>
      <w:spacing w:before="50" w:after="50" w:line="360" w:lineRule="auto"/>
    </w:pPr>
    <w:rPr>
      <w:rFonts w:ascii="黑体" w:eastAsia="黑体"/>
      <w:color w:val="000080"/>
      <w:sz w:val="24"/>
    </w:rPr>
  </w:style>
  <w:style w:type="character" w:styleId="1185" w:customStyle="1">
    <w:name w:val="ca-51"/>
    <w:uiPriority w:val="0"/>
    <w:qFormat/>
    <w:rPr>
      <w:rFonts w:ascii="楷体_GB2312" w:eastAsia="楷体_GB2312"/>
      <w:b/>
      <w:bCs/>
      <w:spacing w:val="-20"/>
      <w:sz w:val="24"/>
      <w:szCs w:val="24"/>
    </w:rPr>
  </w:style>
  <w:style w:type="paragraph" w:styleId="1186" w:customStyle="1">
    <w:name w:val="加点正文缩进"/>
    <w:basedOn w:val="775"/>
    <w:uiPriority w:val="0"/>
    <w:qFormat/>
    <w:pPr>
      <w:ind w:left="962" w:hanging="480"/>
      <w:spacing w:line="300" w:lineRule="auto"/>
      <w:tabs>
        <w:tab w:val="left" w:pos="840" w:leader="none"/>
      </w:tabs>
    </w:pPr>
    <w:rPr>
      <w:sz w:val="24"/>
    </w:rPr>
  </w:style>
  <w:style w:type="paragraph" w:styleId="1187" w:customStyle="1">
    <w:name w:val="默认段落字体 Para Char Char Char Char Char Char Char Char Char Char Char Char Char Char"/>
    <w:basedOn w:val="1096"/>
    <w:uiPriority w:val="0"/>
    <w:qFormat/>
    <w:rPr>
      <w:rFonts w:ascii="Tahoma" w:hAnsi="Tahoma"/>
      <w:sz w:val="24"/>
    </w:rPr>
  </w:style>
  <w:style w:type="paragraph" w:styleId="1188" w:customStyle="1">
    <w:name w:val="列表段落1"/>
    <w:basedOn w:val="775"/>
    <w:uiPriority w:val="0"/>
    <w:qFormat/>
    <w:pPr>
      <w:ind w:firstLine="200"/>
    </w:pPr>
  </w:style>
  <w:style w:type="paragraph" w:styleId="1189" w:customStyle="1">
    <w:name w:val="序号"/>
    <w:next w:val="775"/>
    <w:uiPriority w:val="0"/>
    <w:qFormat/>
    <w:pPr>
      <w:jc w:val="center"/>
    </w:pPr>
    <w:rPr>
      <w:rFonts w:hint="default" w:ascii="Times New Roman" w:hAnsi="Times New Roman" w:eastAsia="仿宋_GB2312" w:cs="Times New Roman"/>
      <w:bCs/>
      <w:sz w:val="21"/>
      <w:szCs w:val="44"/>
      <w:lang w:val="en-US" w:eastAsia="zh-CN" w:bidi="ar-SA"/>
    </w:rPr>
  </w:style>
  <w:style w:type="paragraph" w:styleId="1190" w:customStyle="1">
    <w:name w:val="Char"/>
    <w:basedOn w:val="775"/>
    <w:uiPriority w:val="0"/>
    <w:qFormat/>
    <w:pPr>
      <w:tabs>
        <w:tab w:val="left" w:pos="360" w:leader="none"/>
      </w:tabs>
    </w:pPr>
    <w:rPr>
      <w:rFonts w:ascii="仿宋_GB2312" w:eastAsia="仿宋_GB2312"/>
      <w:b/>
      <w:sz w:val="24"/>
    </w:rPr>
  </w:style>
  <w:style w:type="paragraph" w:styleId="1191" w:customStyle="1">
    <w:name w:val="xl35"/>
    <w:basedOn w:val="7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2" w:customStyle="1">
    <w:name w:val="xl36"/>
    <w:basedOn w:val="77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3" w:customStyle="1">
    <w:name w:val="Char Char Char"/>
    <w:basedOn w:val="775"/>
    <w:uiPriority w:val="0"/>
    <w:qFormat/>
    <w:rPr>
      <w:rFonts w:ascii="Tahoma" w:hAnsi="Tahoma"/>
      <w:sz w:val="24"/>
      <w:szCs w:val="20"/>
    </w:rPr>
  </w:style>
  <w:style w:type="paragraph" w:styleId="1194" w:customStyle="1">
    <w:name w:val="Char12"/>
    <w:basedOn w:val="775"/>
    <w:uiPriority w:val="0"/>
    <w:qFormat/>
    <w:pPr>
      <w:ind w:left="360" w:right="202" w:firstLine="360"/>
      <w:spacing w:line="480" w:lineRule="auto"/>
      <w:tabs>
        <w:tab w:val="left" w:pos="360" w:leader="none"/>
      </w:tabs>
    </w:pPr>
    <w:rPr>
      <w:sz w:val="24"/>
    </w:rPr>
  </w:style>
  <w:style w:type="paragraph" w:styleId="1195" w:customStyle="1">
    <w:name w:val="Char Char Char Char Char Char Char Char Char Char"/>
    <w:basedOn w:val="775"/>
    <w:uiPriority w:val="0"/>
    <w:qFormat/>
    <w:rPr>
      <w:rFonts w:ascii="Tahoma" w:hAnsi="Tahoma"/>
      <w:sz w:val="24"/>
      <w:szCs w:val="20"/>
    </w:rPr>
  </w:style>
  <w:style w:type="paragraph" w:styleId="1196" w:customStyle="1">
    <w:name w:val="正文段"/>
    <w:basedOn w:val="775"/>
    <w:uiPriority w:val="0"/>
    <w:qFormat/>
    <w:pPr>
      <w:ind w:firstLine="425"/>
      <w:spacing w:after="240" w:line="240" w:lineRule="atLeast"/>
      <w:widowControl/>
    </w:pPr>
    <w:rPr>
      <w:sz w:val="24"/>
      <w:szCs w:val="20"/>
    </w:rPr>
  </w:style>
  <w:style w:type="paragraph" w:styleId="1197"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98" w:customStyle="1">
    <w:name w:val="Char Char Char Char Char Char Char Char Char Char1"/>
    <w:basedOn w:val="775"/>
    <w:uiPriority w:val="0"/>
    <w:qFormat/>
    <w:rPr>
      <w:rFonts w:ascii="Tahoma" w:hAnsi="Tahoma" w:cs="Tahoma"/>
      <w:sz w:val="24"/>
    </w:rPr>
  </w:style>
  <w:style w:type="paragraph" w:styleId="1199" w:customStyle="1">
    <w:name w:val="xl34"/>
    <w:basedOn w:val="775"/>
    <w:uiPriority w:val="0"/>
    <w:qFormat/>
    <w:pPr>
      <w:jc w:val="center"/>
      <w:spacing w:before="100" w:beforeAutospacing="1" w:after="100" w:afterAutospacing="1"/>
      <w:widowControl/>
    </w:pPr>
    <w:rPr>
      <w:rFonts w:ascii="Arial Unicode MS" w:hAnsi="Arial Unicode MS" w:eastAsia="Arial Unicode MS"/>
      <w:sz w:val="24"/>
    </w:rPr>
  </w:style>
  <w:style w:type="paragraph" w:styleId="1200" w:customStyle="1">
    <w:name w:val="前言、引言标题"/>
    <w:next w:val="775"/>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201" w:customStyle="1">
    <w:name w:val="Char Char Char Char Char Char Char Char Char Char Char Char Char"/>
    <w:basedOn w:val="775"/>
    <w:uiPriority w:val="0"/>
    <w:qFormat/>
    <w:pPr>
      <w:jc w:val="left"/>
      <w:spacing w:after="160" w:line="240" w:lineRule="exact"/>
      <w:widowControl/>
    </w:pPr>
    <w:rPr>
      <w:rFonts w:ascii="Verdana" w:hAnsi="Verdana"/>
      <w:sz w:val="20"/>
      <w:szCs w:val="20"/>
      <w:lang w:eastAsia="en-US"/>
    </w:rPr>
  </w:style>
  <w:style w:type="paragraph" w:styleId="1202" w:customStyle="1">
    <w:name w:val="pa-0"/>
    <w:basedOn w:val="775"/>
    <w:uiPriority w:val="0"/>
    <w:qFormat/>
    <w:pPr>
      <w:ind w:firstLine="480"/>
      <w:spacing w:line="360" w:lineRule="atLeast"/>
      <w:widowControl/>
    </w:pPr>
    <w:rPr>
      <w:rFonts w:ascii="宋体" w:cs="宋体"/>
      <w:sz w:val="24"/>
    </w:rPr>
  </w:style>
  <w:style w:type="paragraph" w:styleId="1203" w:customStyle="1">
    <w:name w:val="Char111"/>
    <w:basedOn w:val="775"/>
    <w:uiPriority w:val="0"/>
    <w:qFormat/>
    <w:pPr>
      <w:jc w:val="left"/>
      <w:spacing w:after="160" w:line="240" w:lineRule="exact"/>
      <w:widowControl/>
    </w:pPr>
    <w:rPr>
      <w:rFonts w:ascii="Verdana" w:hAnsi="Verdana"/>
      <w:sz w:val="20"/>
      <w:szCs w:val="20"/>
      <w:lang w:eastAsia="en-US"/>
    </w:rPr>
  </w:style>
  <w:style w:type="paragraph" w:styleId="1204" w:customStyle="1">
    <w:name w:val="三级条标题"/>
    <w:basedOn w:val="1205"/>
    <w:next w:val="1197"/>
    <w:uiPriority w:val="0"/>
    <w:qFormat/>
    <w:pPr>
      <w:ind w:left="1050"/>
      <w:outlineLvl w:val="4"/>
    </w:pPr>
  </w:style>
  <w:style w:type="paragraph" w:styleId="1205" w:customStyle="1">
    <w:name w:val="二级条标题"/>
    <w:basedOn w:val="1206"/>
    <w:next w:val="1197"/>
    <w:uiPriority w:val="0"/>
    <w:qFormat/>
    <w:pPr>
      <w:ind w:left="360"/>
      <w:outlineLvl w:val="3"/>
    </w:pPr>
  </w:style>
  <w:style w:type="paragraph" w:styleId="1206" w:customStyle="1">
    <w:name w:val="一级条标题"/>
    <w:next w:val="1197"/>
    <w:uiPriority w:val="0"/>
    <w:qFormat/>
    <w:pPr>
      <w:outlineLvl w:val="2"/>
    </w:pPr>
    <w:rPr>
      <w:rFonts w:hint="default" w:ascii="Times New Roman" w:hAnsi="Times New Roman" w:eastAsia="黑体" w:cs="Times New Roman"/>
      <w:sz w:val="21"/>
      <w:lang w:val="en-US" w:eastAsia="zh-CN" w:bidi="ar-SA"/>
    </w:rPr>
  </w:style>
  <w:style w:type="paragraph" w:styleId="1207" w:customStyle="1">
    <w:name w:val="FA正文+标号"/>
    <w:basedOn w:val="775"/>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208" w:customStyle="1">
    <w:name w:val="表文1"/>
    <w:basedOn w:val="775"/>
    <w:uiPriority w:val="0"/>
    <w:qFormat/>
    <w:pPr>
      <w:ind w:firstLine="196"/>
      <w:spacing w:line="360" w:lineRule="auto"/>
      <w:widowControl/>
    </w:pPr>
    <w:rPr>
      <w:rFonts w:ascii="宋体"/>
      <w:sz w:val="24"/>
    </w:rPr>
  </w:style>
  <w:style w:type="paragraph" w:styleId="1209" w:customStyle="1">
    <w:name w:val="表内容"/>
    <w:basedOn w:val="1210"/>
    <w:uiPriority w:val="0"/>
    <w:qFormat/>
    <w:pPr>
      <w:ind w:left="0" w:firstLine="0"/>
      <w:spacing w:line="320" w:lineRule="exact"/>
    </w:pPr>
    <w:rPr>
      <w:sz w:val="20"/>
    </w:rPr>
  </w:style>
  <w:style w:type="paragraph" w:styleId="1210" w:customStyle="1">
    <w:name w:val="正文11"/>
    <w:basedOn w:val="775"/>
    <w:uiPriority w:val="0"/>
    <w:qFormat/>
    <w:pPr>
      <w:ind w:left="357" w:firstLine="420"/>
      <w:jc w:val="left"/>
      <w:spacing w:line="360" w:lineRule="auto"/>
      <w:widowControl/>
    </w:pPr>
    <w:rPr>
      <w:rFonts w:cs="Arial"/>
      <w:szCs w:val="20"/>
    </w:rPr>
  </w:style>
  <w:style w:type="paragraph" w:styleId="1211" w:customStyle="1">
    <w:name w:val="Char Char1 Char Char Char Char Char Char"/>
    <w:basedOn w:val="775"/>
    <w:uiPriority w:val="0"/>
    <w:qFormat/>
    <w:pPr>
      <w:jc w:val="center"/>
      <w:widowControl/>
    </w:pPr>
    <w:rPr>
      <w:szCs w:val="20"/>
    </w:rPr>
  </w:style>
  <w:style w:type="paragraph" w:styleId="1212" w:customStyle="1">
    <w:name w:val="xl27"/>
    <w:basedOn w:val="7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3" w:customStyle="1">
    <w:name w:val="普通正文"/>
    <w:basedOn w:val="775"/>
    <w:uiPriority w:val="0"/>
    <w:qFormat/>
    <w:pPr>
      <w:ind w:firstLine="425"/>
      <w:jc w:val="left"/>
    </w:pPr>
    <w:rPr>
      <w:rFonts w:ascii="宋体"/>
      <w:sz w:val="20"/>
      <w:szCs w:val="20"/>
    </w:rPr>
  </w:style>
  <w:style w:type="paragraph" w:styleId="1214"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15" w:customStyle="1">
    <w:name w:val="附图标题"/>
    <w:basedOn w:val="1092"/>
    <w:next w:val="1091"/>
    <w:uiPriority w:val="0"/>
    <w:qFormat/>
    <w:pPr>
      <w:ind w:left="780" w:hanging="480"/>
      <w:jc w:val="center"/>
      <w:spacing w:after="100"/>
      <w:tabs>
        <w:tab w:val="left" w:pos="780" w:leader="none"/>
      </w:tabs>
    </w:pPr>
    <w:rPr>
      <w:b/>
      <w:sz w:val="21"/>
    </w:rPr>
  </w:style>
  <w:style w:type="paragraph" w:styleId="1216" w:customStyle="1">
    <w:name w:val="图号"/>
    <w:basedOn w:val="775"/>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17" w:customStyle="1">
    <w:name w:val="xl40"/>
    <w:basedOn w:val="775"/>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18" w:customStyle="1">
    <w:name w:val="缩进正文"/>
    <w:basedOn w:val="775"/>
    <w:uiPriority w:val="0"/>
    <w:qFormat/>
    <w:pPr>
      <w:ind w:left="1418" w:firstLine="425"/>
      <w:jc w:val="left"/>
      <w:spacing w:after="200" w:line="400" w:lineRule="exact"/>
      <w:widowControl/>
    </w:pPr>
    <w:rPr>
      <w:rFonts w:ascii="宋体"/>
      <w:sz w:val="24"/>
      <w:szCs w:val="20"/>
    </w:rPr>
  </w:style>
  <w:style w:type="paragraph" w:styleId="1219" w:customStyle="1">
    <w:name w:val="xl28"/>
    <w:basedOn w:val="7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20" w:customStyle="1">
    <w:name w:val="xl29"/>
    <w:basedOn w:val="7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1" w:customStyle="1">
    <w:name w:val="Char1"/>
    <w:basedOn w:val="775"/>
    <w:uiPriority w:val="0"/>
    <w:qFormat/>
    <w:pPr>
      <w:ind w:left="360" w:right="202" w:firstLine="360"/>
      <w:spacing w:line="480" w:lineRule="auto"/>
      <w:tabs>
        <w:tab w:val="left" w:pos="360" w:leader="none"/>
      </w:tabs>
    </w:pPr>
    <w:rPr>
      <w:sz w:val="24"/>
    </w:rPr>
  </w:style>
  <w:style w:type="paragraph" w:styleId="1222"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23" w:customStyle="1">
    <w:name w:val="pa-10"/>
    <w:basedOn w:val="775"/>
    <w:uiPriority w:val="0"/>
    <w:qFormat/>
    <w:pPr>
      <w:spacing w:line="240" w:lineRule="atLeast"/>
      <w:widowControl/>
    </w:pPr>
    <w:rPr>
      <w:rFonts w:ascii="宋体" w:cs="宋体"/>
      <w:sz w:val="24"/>
    </w:rPr>
  </w:style>
  <w:style w:type="paragraph" w:styleId="1224" w:customStyle="1">
    <w:name w:val="特点"/>
    <w:basedOn w:val="775"/>
    <w:next w:val="775"/>
    <w:uiPriority w:val="0"/>
    <w:qFormat/>
    <w:pPr>
      <w:jc w:val="center"/>
      <w:spacing w:line="360" w:lineRule="auto"/>
    </w:pPr>
    <w:rPr>
      <w:rFonts w:ascii="Arial" w:hAnsi="Arial"/>
      <w:sz w:val="24"/>
      <w:szCs w:val="20"/>
    </w:rPr>
  </w:style>
  <w:style w:type="paragraph" w:styleId="1225" w:customStyle="1">
    <w:name w:val="pa-4"/>
    <w:basedOn w:val="775"/>
    <w:uiPriority w:val="0"/>
    <w:qFormat/>
    <w:pPr>
      <w:jc w:val="center"/>
      <w:spacing w:line="280" w:lineRule="atLeast"/>
      <w:widowControl/>
    </w:pPr>
    <w:rPr>
      <w:rFonts w:ascii="宋体" w:cs="宋体"/>
      <w:sz w:val="24"/>
    </w:rPr>
  </w:style>
  <w:style w:type="paragraph" w:styleId="1226" w:customStyle="1">
    <w:name w:val="编号"/>
    <w:basedOn w:val="775"/>
    <w:next w:val="1172"/>
    <w:uiPriority w:val="0"/>
    <w:qFormat/>
    <w:pPr>
      <w:ind w:left="420" w:right="-136" w:hanging="420"/>
      <w:widowControl/>
      <w:tabs>
        <w:tab w:val="left" w:pos="420" w:leader="none"/>
      </w:tabs>
    </w:pPr>
    <w:rPr>
      <w:rFonts w:ascii="仿宋_GB2312" w:eastAsia="仿宋_GB2312"/>
      <w:b/>
      <w:bCs/>
      <w:sz w:val="24"/>
      <w:szCs w:val="21"/>
    </w:rPr>
  </w:style>
  <w:style w:type="paragraph" w:styleId="1227"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228" w:customStyle="1">
    <w:name w:val="xl33"/>
    <w:basedOn w:val="77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9" w:customStyle="1">
    <w:name w:val="编号1"/>
    <w:next w:val="1172"/>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230" w:customStyle="1">
    <w:name w:val="xl32"/>
    <w:basedOn w:val="7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1" w:customStyle="1">
    <w:name w:val="CM17"/>
    <w:basedOn w:val="775"/>
    <w:next w:val="775"/>
    <w:uiPriority w:val="0"/>
    <w:qFormat/>
    <w:pPr>
      <w:jc w:val="left"/>
      <w:spacing w:after="273" w:line="360" w:lineRule="auto"/>
    </w:pPr>
    <w:rPr>
      <w:rFonts w:ascii="宋体"/>
      <w:sz w:val="24"/>
    </w:rPr>
  </w:style>
  <w:style w:type="paragraph" w:styleId="1232" w:customStyle="1">
    <w:name w:val="xl38"/>
    <w:basedOn w:val="77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33" w:customStyle="1">
    <w:name w:val="参考资料清单+倾斜+蓝色"/>
    <w:basedOn w:val="775"/>
    <w:uiPriority w:val="0"/>
    <w:qFormat/>
    <w:pPr>
      <w:spacing w:line="360" w:lineRule="auto"/>
    </w:pPr>
    <w:rPr>
      <w:rFonts w:ascii="Arial" w:hAnsi="Arial"/>
      <w:i/>
      <w:iCs/>
      <w:color w:val="0000ff"/>
      <w:szCs w:val="21"/>
    </w:rPr>
  </w:style>
  <w:style w:type="paragraph" w:styleId="1234"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35" w:customStyle="1">
    <w:name w:val="pa-8"/>
    <w:basedOn w:val="775"/>
    <w:uiPriority w:val="0"/>
    <w:qFormat/>
    <w:pPr>
      <w:ind w:firstLine="480"/>
      <w:spacing w:line="280" w:lineRule="atLeast"/>
      <w:widowControl/>
    </w:pPr>
    <w:rPr>
      <w:rFonts w:ascii="宋体" w:cs="宋体"/>
      <w:sz w:val="24"/>
    </w:rPr>
  </w:style>
  <w:style w:type="paragraph" w:styleId="1236" w:customStyle="1">
    <w:name w:val="标书2"/>
    <w:next w:val="1172"/>
    <w:uiPriority w:val="0"/>
    <w:qFormat/>
    <w:rPr>
      <w:rFonts w:hint="default" w:ascii="Times New Roman" w:hAnsi="Times New Roman" w:eastAsia="黑体" w:cs="宋体"/>
      <w:b/>
      <w:sz w:val="44"/>
      <w:lang w:val="en-US" w:eastAsia="zh-CN" w:bidi="ar-SA"/>
    </w:rPr>
  </w:style>
  <w:style w:type="paragraph" w:styleId="1237" w:customStyle="1">
    <w:name w:val="表格文字"/>
    <w:basedOn w:val="775"/>
    <w:uiPriority w:val="0"/>
    <w:qFormat/>
    <w:pPr>
      <w:jc w:val="left"/>
    </w:pPr>
    <w:rPr>
      <w:sz w:val="18"/>
    </w:rPr>
  </w:style>
  <w:style w:type="paragraph" w:styleId="1238"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39" w:customStyle="1">
    <w:name w:val="保密事宜格式"/>
    <w:basedOn w:val="1092"/>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40"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241" w:customStyle="1">
    <w:name w:val="È±Ê¡ÎÄ±¾"/>
    <w:basedOn w:val="775"/>
    <w:uiPriority w:val="0"/>
    <w:qFormat/>
    <w:pPr>
      <w:jc w:val="left"/>
      <w:spacing w:line="360" w:lineRule="auto"/>
      <w:widowControl/>
    </w:pPr>
    <w:rPr>
      <w:sz w:val="24"/>
      <w:szCs w:val="20"/>
    </w:rPr>
  </w:style>
  <w:style w:type="paragraph" w:styleId="1242" w:customStyle="1">
    <w:name w:val="Char Char Char Char Char Char Char"/>
    <w:basedOn w:val="775"/>
    <w:uiPriority w:val="0"/>
    <w:qFormat/>
    <w:pPr>
      <w:jc w:val="left"/>
      <w:spacing w:after="160" w:line="240" w:lineRule="exact"/>
      <w:widowControl/>
    </w:pPr>
    <w:rPr>
      <w:rFonts w:ascii="Verdana" w:hAnsi="Verdana"/>
      <w:sz w:val="20"/>
      <w:szCs w:val="20"/>
      <w:lang w:eastAsia="en-US"/>
    </w:rPr>
  </w:style>
  <w:style w:type="paragraph" w:styleId="1243" w:customStyle="1">
    <w:name w:val="xl26"/>
    <w:basedOn w:val="7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4" w:customStyle="1">
    <w:name w:val="附图居中"/>
    <w:basedOn w:val="775"/>
    <w:next w:val="1215"/>
    <w:uiPriority w:val="0"/>
    <w:qFormat/>
    <w:pPr>
      <w:ind w:left="1271" w:hanging="420"/>
      <w:jc w:val="center"/>
      <w:keepNext/>
      <w:spacing w:line="360" w:lineRule="auto"/>
      <w:tabs>
        <w:tab w:val="left" w:pos="0" w:leader="none"/>
      </w:tabs>
    </w:pPr>
    <w:rPr>
      <w:caps/>
      <w:sz w:val="24"/>
    </w:rPr>
  </w:style>
  <w:style w:type="paragraph" w:styleId="1245" w:customStyle="1">
    <w:name w:val="pa-6"/>
    <w:basedOn w:val="775"/>
    <w:uiPriority w:val="0"/>
    <w:qFormat/>
    <w:pPr>
      <w:spacing w:line="360" w:lineRule="atLeast"/>
      <w:widowControl/>
    </w:pPr>
    <w:rPr>
      <w:rFonts w:ascii="宋体"/>
      <w:sz w:val="24"/>
      <w:szCs w:val="20"/>
    </w:rPr>
  </w:style>
  <w:style w:type="paragraph" w:styleId="1246" w:customStyle="1">
    <w:name w:val="规范正文"/>
    <w:basedOn w:val="775"/>
    <w:uiPriority w:val="0"/>
    <w:qFormat/>
    <w:pPr>
      <w:ind w:left="480"/>
      <w:spacing w:line="360" w:lineRule="auto"/>
    </w:pPr>
    <w:rPr>
      <w:sz w:val="24"/>
      <w:szCs w:val="20"/>
    </w:rPr>
  </w:style>
  <w:style w:type="paragraph" w:styleId="1247" w:customStyle="1">
    <w:name w:val="font7"/>
    <w:basedOn w:val="775"/>
    <w:uiPriority w:val="0"/>
    <w:qFormat/>
    <w:pPr>
      <w:jc w:val="left"/>
      <w:spacing w:before="100" w:beforeAutospacing="1" w:after="100" w:afterAutospacing="1"/>
      <w:widowControl/>
    </w:pPr>
    <w:rPr>
      <w:rFonts w:ascii="宋体"/>
      <w:sz w:val="20"/>
      <w:szCs w:val="20"/>
    </w:rPr>
  </w:style>
  <w:style w:type="paragraph" w:styleId="1248" w:customStyle="1">
    <w:name w:val="缺省文本"/>
    <w:basedOn w:val="775"/>
    <w:uiPriority w:val="0"/>
    <w:qFormat/>
    <w:pPr>
      <w:jc w:val="left"/>
    </w:pPr>
    <w:rPr>
      <w:sz w:val="24"/>
      <w:szCs w:val="20"/>
    </w:rPr>
  </w:style>
  <w:style w:type="paragraph" w:styleId="1249" w:customStyle="1">
    <w:name w:val="序号-----------"/>
    <w:basedOn w:val="775"/>
    <w:uiPriority w:val="0"/>
    <w:qFormat/>
    <w:pPr>
      <w:jc w:val="left"/>
      <w:widowControl/>
    </w:pPr>
    <w:rPr>
      <w:rFonts w:ascii="宋体"/>
      <w:bCs/>
      <w:szCs w:val="21"/>
    </w:rPr>
  </w:style>
  <w:style w:type="paragraph" w:styleId="1250" w:customStyle="1">
    <w:name w:val="font8"/>
    <w:basedOn w:val="775"/>
    <w:uiPriority w:val="0"/>
    <w:qFormat/>
    <w:pPr>
      <w:jc w:val="left"/>
      <w:spacing w:before="100" w:beforeAutospacing="1" w:after="100" w:afterAutospacing="1"/>
      <w:widowControl/>
    </w:pPr>
    <w:rPr>
      <w:rFonts w:ascii="Arial" w:hAnsi="Arial" w:cs="Arial"/>
      <w:color w:val="000000"/>
      <w:sz w:val="18"/>
      <w:szCs w:val="18"/>
    </w:rPr>
  </w:style>
  <w:style w:type="paragraph" w:styleId="1251" w:customStyle="1">
    <w:name w:val="表格标题"/>
    <w:basedOn w:val="775"/>
    <w:uiPriority w:val="0"/>
    <w:qFormat/>
    <w:pPr>
      <w:jc w:val="center"/>
    </w:pPr>
    <w:rPr>
      <w:b/>
    </w:rPr>
  </w:style>
  <w:style w:type="paragraph" w:styleId="1252" w:customStyle="1">
    <w:name w:val="章标题"/>
    <w:next w:val="1197"/>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53" w:customStyle="1">
    <w:name w:val="首页单位日期"/>
    <w:basedOn w:val="775"/>
    <w:uiPriority w:val="0"/>
    <w:qFormat/>
    <w:pPr>
      <w:jc w:val="center"/>
      <w:widowControl/>
    </w:pPr>
    <w:rPr>
      <w:rFonts w:ascii="宋体" w:cs="宋体"/>
      <w:bCs/>
      <w:sz w:val="28"/>
      <w:szCs w:val="20"/>
    </w:rPr>
  </w:style>
  <w:style w:type="paragraph" w:styleId="1254" w:customStyle="1">
    <w:name w:val="样式 正文缩进 + (中文) 仿宋_GB2312 小四 Char"/>
    <w:basedOn w:val="1091"/>
    <w:uiPriority w:val="0"/>
    <w:qFormat/>
    <w:pPr>
      <w:ind w:firstLine="200"/>
      <w:spacing w:line="360" w:lineRule="auto"/>
    </w:pPr>
    <w:rPr>
      <w:szCs w:val="24"/>
    </w:rPr>
  </w:style>
  <w:style w:type="paragraph" w:styleId="1255" w:customStyle="1">
    <w:name w:val="项目"/>
    <w:basedOn w:val="775"/>
    <w:uiPriority w:val="0"/>
    <w:qFormat/>
    <w:pPr>
      <w:ind w:left="840" w:hanging="420"/>
      <w:spacing w:before="60" w:after="60" w:line="360" w:lineRule="auto"/>
      <w:tabs>
        <w:tab w:val="left" w:pos="840" w:leader="none"/>
      </w:tabs>
    </w:pPr>
    <w:rPr>
      <w:rFonts w:ascii="宋体"/>
      <w:szCs w:val="20"/>
    </w:rPr>
  </w:style>
  <w:style w:type="paragraph" w:styleId="1256" w:customStyle="1">
    <w:name w:val="默认段落字体 Para Char"/>
    <w:basedOn w:val="775"/>
    <w:uiPriority w:val="0"/>
    <w:qFormat/>
    <w:rPr>
      <w:rFonts w:ascii="宋体"/>
      <w:b/>
      <w:sz w:val="28"/>
      <w:szCs w:val="28"/>
    </w:rPr>
  </w:style>
  <w:style w:type="paragraph" w:styleId="1257" w:customStyle="1">
    <w:name w:val="篇名"/>
    <w:next w:val="904"/>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58" w:customStyle="1">
    <w:name w:val="Char13"/>
    <w:basedOn w:val="775"/>
    <w:uiPriority w:val="0"/>
    <w:qFormat/>
  </w:style>
  <w:style w:type="paragraph" w:styleId="1259" w:customStyle="1">
    <w:name w:val="表头"/>
    <w:basedOn w:val="1210"/>
    <w:uiPriority w:val="0"/>
    <w:qFormat/>
    <w:pPr>
      <w:ind w:left="0" w:firstLine="0"/>
      <w:spacing w:line="240" w:lineRule="auto"/>
    </w:pPr>
    <w:rPr>
      <w:sz w:val="20"/>
    </w:rPr>
  </w:style>
  <w:style w:type="paragraph" w:styleId="1260" w:customStyle="1">
    <w:name w:val="表格序号"/>
    <w:uiPriority w:val="0"/>
    <w:qFormat/>
    <w:rPr>
      <w:rFonts w:hint="default" w:ascii="Times New Roman" w:hAnsi="Times New Roman" w:eastAsia="仿宋_GB2312" w:cs="宋体"/>
      <w:sz w:val="21"/>
      <w:lang w:val="en-US" w:eastAsia="zh-CN" w:bidi="ar-SA"/>
    </w:rPr>
  </w:style>
  <w:style w:type="paragraph" w:styleId="1261" w:customStyle="1">
    <w:name w:val="Char Char Char Char1"/>
    <w:basedOn w:val="775"/>
    <w:uiPriority w:val="0"/>
    <w:qFormat/>
    <w:pPr>
      <w:ind w:firstLine="200"/>
      <w:spacing w:line="360" w:lineRule="auto"/>
    </w:pPr>
    <w:rPr>
      <w:sz w:val="24"/>
      <w:szCs w:val="20"/>
    </w:rPr>
  </w:style>
  <w:style w:type="paragraph" w:styleId="1262" w:customStyle="1">
    <w:name w:val="标书3"/>
    <w:next w:val="1172"/>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63" w:customStyle="1">
    <w:name w:val="首页小标题"/>
    <w:next w:val="1238"/>
    <w:uiPriority w:val="0"/>
    <w:qFormat/>
    <w:pPr>
      <w:jc w:val="center"/>
    </w:pPr>
    <w:rPr>
      <w:rFonts w:hint="default" w:ascii="Times New Roman" w:hAnsi="Times New Roman" w:eastAsia="宋体" w:cs="宋体"/>
      <w:sz w:val="44"/>
      <w:lang w:val="en-US" w:eastAsia="zh-CN" w:bidi="ar-SA"/>
    </w:rPr>
  </w:style>
  <w:style w:type="paragraph" w:styleId="1264" w:customStyle="1">
    <w:name w:val="新段落缩进"/>
    <w:basedOn w:val="775"/>
    <w:uiPriority w:val="0"/>
    <w:qFormat/>
    <w:pPr>
      <w:ind w:firstLine="200"/>
      <w:spacing w:line="400" w:lineRule="exact"/>
    </w:pPr>
    <w:rPr>
      <w:rFonts w:ascii="仿宋_GB2312" w:eastAsia="仿宋_GB2312"/>
      <w:sz w:val="24"/>
    </w:rPr>
  </w:style>
  <w:style w:type="paragraph" w:styleId="1265" w:customStyle="1">
    <w:name w:val="pa-2"/>
    <w:basedOn w:val="775"/>
    <w:uiPriority w:val="0"/>
    <w:qFormat/>
    <w:pPr>
      <w:spacing w:line="360" w:lineRule="atLeast"/>
      <w:widowControl/>
    </w:pPr>
    <w:rPr>
      <w:rFonts w:ascii="宋体" w:cs="宋体"/>
      <w:sz w:val="24"/>
    </w:rPr>
  </w:style>
  <w:style w:type="paragraph" w:styleId="1266" w:customStyle="1">
    <w:name w:val="四级条标题"/>
    <w:basedOn w:val="1204"/>
    <w:next w:val="1197"/>
    <w:uiPriority w:val="0"/>
    <w:qFormat/>
    <w:pPr>
      <w:ind w:left="0"/>
      <w:outlineLvl w:val="5"/>
    </w:pPr>
  </w:style>
  <w:style w:type="paragraph" w:styleId="1267" w:customStyle="1">
    <w:name w:val="保密事宜内容"/>
    <w:basedOn w:val="775"/>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68" w:customStyle="1">
    <w:name w:val="xl30"/>
    <w:basedOn w:val="7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69" w:customStyle="1">
    <w:name w:val="Char1 Char Char Char"/>
    <w:basedOn w:val="775"/>
    <w:uiPriority w:val="0"/>
    <w:qFormat/>
    <w:rPr>
      <w:szCs w:val="20"/>
    </w:rPr>
  </w:style>
  <w:style w:type="paragraph" w:styleId="1270" w:customStyle="1">
    <w:name w:val="正文 + 宋体"/>
    <w:basedOn w:val="775"/>
    <w:uiPriority w:val="0"/>
    <w:qFormat/>
    <w:pPr>
      <w:ind w:firstLine="250"/>
    </w:pPr>
    <w:rPr>
      <w:rFonts w:ascii="宋体"/>
      <w:szCs w:val="21"/>
    </w:rPr>
  </w:style>
  <w:style w:type="paragraph" w:styleId="1271" w:customStyle="1">
    <w:name w:val="xl31"/>
    <w:basedOn w:val="775"/>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72" w:customStyle="1">
    <w:name w:val="pbody"/>
    <w:basedOn w:val="775"/>
    <w:uiPriority w:val="0"/>
    <w:qFormat/>
    <w:pPr>
      <w:jc w:val="left"/>
      <w:spacing w:before="100" w:beforeAutospacing="1" w:after="100" w:afterAutospacing="1" w:line="360" w:lineRule="auto"/>
      <w:widowControl/>
    </w:pPr>
    <w:rPr>
      <w:rFonts w:ascii="宋体" w:cs="宋体"/>
      <w:sz w:val="24"/>
    </w:rPr>
  </w:style>
  <w:style w:type="paragraph" w:styleId="1273" w:customStyle="1">
    <w:name w:val="xl42"/>
    <w:basedOn w:val="77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74" w:customStyle="1">
    <w:name w:val="txt"/>
    <w:basedOn w:val="775"/>
    <w:uiPriority w:val="0"/>
    <w:qFormat/>
    <w:pPr>
      <w:jc w:val="left"/>
      <w:spacing w:before="100" w:beforeAutospacing="1" w:after="100" w:afterAutospacing="1"/>
      <w:widowControl/>
    </w:pPr>
    <w:rPr>
      <w:rFonts w:ascii="宋体" w:cs="宋体"/>
      <w:sz w:val="24"/>
    </w:rPr>
  </w:style>
  <w:style w:type="paragraph" w:styleId="1275" w:customStyle="1">
    <w:name w:val="样式1"/>
    <w:basedOn w:val="1090"/>
    <w:next w:val="775"/>
    <w:uiPriority w:val="0"/>
    <w:qFormat/>
    <w:rPr>
      <w:rFonts w:ascii="Arial" w:hAnsi="Arial" w:eastAsia="幼圆" w:cs="Arial"/>
      <w:sz w:val="24"/>
      <w:szCs w:val="20"/>
    </w:rPr>
  </w:style>
  <w:style w:type="paragraph" w:styleId="1276" w:customStyle="1">
    <w:name w:val="xl37"/>
    <w:basedOn w:val="77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77" w:customStyle="1">
    <w:name w:val="列表段落11"/>
    <w:basedOn w:val="775"/>
    <w:uiPriority w:val="0"/>
    <w:qFormat/>
    <w:pPr>
      <w:ind w:firstLine="420"/>
    </w:pPr>
  </w:style>
  <w:style w:type="paragraph" w:styleId="1278"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79" w:customStyle="1">
    <w:name w:val="样式 序号----------- + 仿宋_GB2312"/>
    <w:basedOn w:val="1249"/>
    <w:uiPriority w:val="0"/>
    <w:qFormat/>
    <w:pPr>
      <w:ind w:firstLine="200"/>
      <w:spacing w:line="360" w:lineRule="auto"/>
    </w:pPr>
    <w:rPr>
      <w:rFonts w:ascii="仿宋_GB2312" w:eastAsia="仿宋_GB2312"/>
      <w:bCs w:val="0"/>
    </w:rPr>
  </w:style>
  <w:style w:type="paragraph" w:styleId="1280" w:customStyle="1">
    <w:name w:val="xl41"/>
    <w:basedOn w:val="775"/>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81" w:customStyle="1">
    <w:name w:val="Char11"/>
    <w:basedOn w:val="775"/>
    <w:uiPriority w:val="0"/>
    <w:qFormat/>
    <w:rPr>
      <w:szCs w:val="21"/>
    </w:rPr>
  </w:style>
  <w:style w:type="paragraph" w:styleId="1282" w:customStyle="1">
    <w:name w:val="样式 序号----------- + 仿宋_GB23121"/>
    <w:basedOn w:val="1249"/>
    <w:uiPriority w:val="0"/>
    <w:qFormat/>
    <w:pPr>
      <w:spacing w:line="360" w:lineRule="auto"/>
    </w:pPr>
    <w:rPr>
      <w:rFonts w:ascii="仿宋_GB2312" w:eastAsia="仿宋_GB2312"/>
      <w:bCs w:val="0"/>
    </w:rPr>
  </w:style>
  <w:style w:type="paragraph" w:styleId="1283" w:customStyle="1">
    <w:name w:val="pa-9"/>
    <w:basedOn w:val="775"/>
    <w:uiPriority w:val="0"/>
    <w:qFormat/>
    <w:pPr>
      <w:jc w:val="center"/>
      <w:spacing w:line="360" w:lineRule="atLeast"/>
      <w:widowControl/>
    </w:pPr>
    <w:rPr>
      <w:rFonts w:ascii="宋体" w:cs="宋体"/>
      <w:sz w:val="24"/>
    </w:rPr>
  </w:style>
  <w:style w:type="paragraph" w:styleId="1284" w:customStyle="1">
    <w:name w:val="pa-3"/>
    <w:basedOn w:val="775"/>
    <w:uiPriority w:val="0"/>
    <w:qFormat/>
    <w:pPr>
      <w:jc w:val="left"/>
      <w:spacing w:before="150" w:after="150"/>
      <w:widowControl/>
    </w:pPr>
    <w:rPr>
      <w:rFonts w:ascii="宋体" w:cs="宋体"/>
      <w:sz w:val="24"/>
    </w:rPr>
  </w:style>
  <w:style w:type="paragraph" w:styleId="1285" w:customStyle="1">
    <w:name w:val="font5"/>
    <w:basedOn w:val="775"/>
    <w:uiPriority w:val="0"/>
    <w:qFormat/>
    <w:pPr>
      <w:jc w:val="left"/>
      <w:spacing w:before="100" w:beforeAutospacing="1" w:after="100" w:afterAutospacing="1"/>
      <w:widowControl/>
    </w:pPr>
    <w:rPr>
      <w:rFonts w:ascii="宋体"/>
      <w:sz w:val="18"/>
      <w:szCs w:val="18"/>
    </w:rPr>
  </w:style>
  <w:style w:type="paragraph" w:styleId="1286" w:customStyle="1">
    <w:name w:val="pa-5"/>
    <w:basedOn w:val="775"/>
    <w:uiPriority w:val="0"/>
    <w:qFormat/>
    <w:pPr>
      <w:spacing w:line="280" w:lineRule="atLeast"/>
      <w:widowControl/>
    </w:pPr>
    <w:rPr>
      <w:rFonts w:ascii="宋体" w:cs="宋体"/>
      <w:sz w:val="24"/>
    </w:rPr>
  </w:style>
  <w:style w:type="paragraph" w:styleId="1287" w:customStyle="1">
    <w:name w:val="xl39"/>
    <w:basedOn w:val="77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88" w:customStyle="1">
    <w:name w:val="font6"/>
    <w:basedOn w:val="775"/>
    <w:uiPriority w:val="0"/>
    <w:qFormat/>
    <w:pPr>
      <w:jc w:val="left"/>
      <w:spacing w:before="100" w:beforeAutospacing="1" w:after="100" w:afterAutospacing="1"/>
      <w:widowControl/>
    </w:pPr>
    <w:rPr>
      <w:sz w:val="20"/>
      <w:szCs w:val="20"/>
    </w:rPr>
  </w:style>
  <w:style w:type="paragraph" w:styleId="1289" w:customStyle="1">
    <w:name w:val="font9"/>
    <w:basedOn w:val="775"/>
    <w:uiPriority w:val="0"/>
    <w:qFormat/>
    <w:pPr>
      <w:jc w:val="left"/>
      <w:spacing w:before="100" w:beforeAutospacing="1" w:after="100" w:afterAutospacing="1"/>
      <w:widowControl/>
    </w:pPr>
    <w:rPr>
      <w:rFonts w:ascii="宋体"/>
      <w:color w:val="000000"/>
      <w:sz w:val="18"/>
      <w:szCs w:val="18"/>
    </w:rPr>
  </w:style>
  <w:style w:type="paragraph" w:styleId="1290" w:customStyle="1">
    <w:name w:val="列出段落1"/>
    <w:basedOn w:val="775"/>
    <w:link w:val="1522"/>
    <w:uiPriority w:val="0"/>
    <w:qFormat/>
    <w:pPr>
      <w:ind w:firstLine="200"/>
    </w:pPr>
  </w:style>
  <w:style w:type="paragraph" w:styleId="1291" w:customStyle="1">
    <w:name w:val="p0"/>
    <w:basedOn w:val="775"/>
    <w:uiPriority w:val="0"/>
    <w:qFormat/>
    <w:pPr>
      <w:widowControl/>
    </w:pPr>
    <w:rPr>
      <w:szCs w:val="21"/>
    </w:rPr>
  </w:style>
  <w:style w:type="paragraph" w:styleId="1292" w:customStyle="1">
    <w:name w:val="Char Char Char Char Char Char Char Char Char Char21"/>
    <w:basedOn w:val="775"/>
    <w:uiPriority w:val="0"/>
    <w:qFormat/>
    <w:rPr>
      <w:rFonts w:ascii="Tahoma" w:hAnsi="Tahoma"/>
      <w:sz w:val="24"/>
      <w:szCs w:val="20"/>
    </w:rPr>
  </w:style>
  <w:style w:type="paragraph" w:styleId="1293"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94" w:customStyle="1">
    <w:name w:val="表格正文"/>
    <w:basedOn w:val="775"/>
    <w:uiPriority w:val="0"/>
    <w:qFormat/>
    <w:pPr>
      <w:spacing w:line="300" w:lineRule="auto"/>
      <w:tabs>
        <w:tab w:val="left" w:pos="420" w:leader="none"/>
      </w:tabs>
    </w:pPr>
  </w:style>
  <w:style w:type="paragraph" w:styleId="1295" w:customStyle="1">
    <w:name w:val="首页标题小初"/>
    <w:uiPriority w:val="0"/>
    <w:qFormat/>
    <w:pPr>
      <w:jc w:val="center"/>
    </w:pPr>
    <w:rPr>
      <w:rFonts w:hint="default" w:ascii="黑体" w:hAnsi="Times New Roman" w:eastAsia="黑体" w:cs="宋体"/>
      <w:sz w:val="72"/>
      <w:lang w:val="en-US" w:eastAsia="zh-CN" w:bidi="ar-SA"/>
    </w:rPr>
  </w:style>
  <w:style w:type="paragraph" w:styleId="1296" w:customStyle="1">
    <w:name w:val="五级条标题"/>
    <w:basedOn w:val="1266"/>
    <w:next w:val="1197"/>
    <w:uiPriority w:val="0"/>
    <w:qFormat/>
    <w:pPr>
      <w:outlineLvl w:val="6"/>
    </w:pPr>
  </w:style>
  <w:style w:type="paragraph" w:styleId="1297" w:customStyle="1">
    <w:name w:val="Char Char Char Char Char Char Char1"/>
    <w:basedOn w:val="775"/>
    <w:uiPriority w:val="0"/>
    <w:qFormat/>
    <w:pPr>
      <w:jc w:val="left"/>
      <w:spacing w:after="160" w:line="240" w:lineRule="exact"/>
      <w:widowControl/>
    </w:pPr>
    <w:rPr>
      <w:rFonts w:ascii="Verdana" w:hAnsi="Verdana"/>
      <w:sz w:val="20"/>
      <w:szCs w:val="20"/>
      <w:lang w:eastAsia="en-US"/>
    </w:rPr>
  </w:style>
  <w:style w:type="paragraph" w:styleId="1298" w:customStyle="1">
    <w:name w:val="ibm-list-next"/>
    <w:basedOn w:val="775"/>
    <w:uiPriority w:val="0"/>
    <w:qFormat/>
    <w:pPr>
      <w:jc w:val="left"/>
      <w:spacing w:before="100" w:beforeAutospacing="1" w:after="100" w:afterAutospacing="1"/>
      <w:widowControl/>
    </w:pPr>
    <w:rPr>
      <w:rFonts w:ascii="宋体" w:cs="宋体"/>
      <w:sz w:val="24"/>
    </w:rPr>
  </w:style>
  <w:style w:type="paragraph" w:styleId="1299" w:customStyle="1">
    <w:name w:val="首页标题 一号"/>
    <w:basedOn w:val="1295"/>
    <w:uiPriority w:val="0"/>
    <w:qFormat/>
    <w:rPr>
      <w:sz w:val="52"/>
    </w:rPr>
  </w:style>
  <w:style w:type="paragraph" w:styleId="1300" w:customStyle="1">
    <w:name w:val="Char Char Char Char Char Char Char Char Char Char2"/>
    <w:basedOn w:val="775"/>
    <w:uiPriority w:val="0"/>
    <w:qFormat/>
    <w:rPr>
      <w:rFonts w:ascii="Tahoma" w:hAnsi="Tahoma"/>
      <w:sz w:val="24"/>
      <w:szCs w:val="20"/>
    </w:rPr>
  </w:style>
  <w:style w:type="paragraph" w:styleId="1301" w:customStyle="1">
    <w:name w:val="正文（编号）"/>
    <w:basedOn w:val="1159"/>
    <w:link w:val="1302"/>
    <w:uiPriority w:val="0"/>
    <w:qFormat/>
    <w:pPr>
      <w:ind w:left="720" w:firstLine="0"/>
      <w:tabs>
        <w:tab w:val="left" w:pos="720" w:leader="none"/>
        <w:tab w:val="left" w:pos="780" w:leader="none"/>
      </w:tabs>
    </w:pPr>
    <w:rPr>
      <w:rFonts w:ascii="Times New Roman" w:hAnsi="Times New Roman"/>
      <w:szCs w:val="24"/>
    </w:rPr>
  </w:style>
  <w:style w:type="character" w:styleId="1302" w:customStyle="1">
    <w:name w:val="正文（编号） Char Char"/>
    <w:link w:val="1301"/>
    <w:uiPriority w:val="0"/>
    <w:qFormat/>
    <w:rPr>
      <w:sz w:val="24"/>
      <w:szCs w:val="24"/>
    </w:rPr>
  </w:style>
  <w:style w:type="paragraph" w:styleId="1303" w:customStyle="1">
    <w:name w:val="表格"/>
    <w:basedOn w:val="775"/>
    <w:uiPriority w:val="0"/>
    <w:qFormat/>
    <w:pPr>
      <w:ind w:firstLine="21"/>
    </w:pPr>
    <w:rPr>
      <w:rFonts w:ascii="宋体"/>
      <w:szCs w:val="20"/>
    </w:rPr>
  </w:style>
  <w:style w:type="character" w:styleId="1304" w:customStyle="1">
    <w:name w:val="正文（缩进） Char Char"/>
    <w:uiPriority w:val="0"/>
    <w:qFormat/>
    <w:rPr>
      <w:rFonts w:eastAsia="宋体"/>
      <w:sz w:val="24"/>
      <w:szCs w:val="24"/>
      <w:lang w:val="en-US" w:eastAsia="zh-CN" w:bidi="ar-SA"/>
    </w:rPr>
  </w:style>
  <w:style w:type="paragraph" w:styleId="1305" w:customStyle="1">
    <w:name w:val="Char Char Char1"/>
    <w:basedOn w:val="775"/>
    <w:uiPriority w:val="0"/>
    <w:qFormat/>
    <w:rPr>
      <w:szCs w:val="21"/>
    </w:rPr>
  </w:style>
  <w:style w:type="paragraph" w:styleId="1306" w:customStyle="1">
    <w:name w:val="样式 正文2 + 首行缩进:  0 厘米 段后: 1.5 行"/>
    <w:basedOn w:val="775"/>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307" w:customStyle="1">
    <w:name w:val="表中文字"/>
    <w:basedOn w:val="775"/>
    <w:uiPriority w:val="0"/>
    <w:qFormat/>
    <w:pPr>
      <w:widowControl/>
    </w:pPr>
    <w:rPr>
      <w:szCs w:val="20"/>
    </w:rPr>
  </w:style>
  <w:style w:type="character" w:styleId="1308" w:customStyle="1">
    <w:name w:val="z1"/>
    <w:uiPriority w:val="0"/>
    <w:qFormat/>
  </w:style>
  <w:style w:type="paragraph" w:styleId="1309" w:customStyle="1">
    <w:name w:val="a1"/>
    <w:basedOn w:val="775"/>
    <w:uiPriority w:val="0"/>
    <w:qFormat/>
    <w:pPr>
      <w:jc w:val="left"/>
      <w:spacing w:before="100" w:beforeAutospacing="1" w:after="100" w:afterAutospacing="1"/>
      <w:widowControl/>
    </w:pPr>
    <w:rPr>
      <w:rFonts w:ascii="宋体"/>
      <w:sz w:val="24"/>
    </w:rPr>
  </w:style>
  <w:style w:type="paragraph" w:styleId="1310" w:customStyle="1">
    <w:name w:val="a0"/>
    <w:basedOn w:val="775"/>
    <w:uiPriority w:val="0"/>
    <w:qFormat/>
    <w:pPr>
      <w:jc w:val="left"/>
      <w:spacing w:before="100" w:beforeAutospacing="1" w:after="100" w:afterAutospacing="1"/>
      <w:widowControl/>
    </w:pPr>
    <w:rPr>
      <w:rFonts w:ascii="宋体"/>
      <w:sz w:val="24"/>
    </w:rPr>
  </w:style>
  <w:style w:type="paragraph" w:styleId="1311" w:customStyle="1">
    <w:name w:val="tabletext"/>
    <w:basedOn w:val="775"/>
    <w:uiPriority w:val="0"/>
    <w:qFormat/>
    <w:pPr>
      <w:jc w:val="left"/>
      <w:spacing w:before="100" w:beforeAutospacing="1" w:after="100" w:afterAutospacing="1"/>
      <w:widowControl/>
    </w:pPr>
    <w:rPr>
      <w:rFonts w:ascii="宋体"/>
      <w:sz w:val="24"/>
    </w:rPr>
  </w:style>
  <w:style w:type="paragraph" w:styleId="1312" w:customStyle="1">
    <w:name w:val="我的样式"/>
    <w:basedOn w:val="775"/>
    <w:uiPriority w:val="0"/>
    <w:qFormat/>
    <w:pPr>
      <w:ind w:firstLine="420"/>
      <w:jc w:val="left"/>
      <w:spacing w:after="120"/>
      <w:widowControl/>
    </w:pPr>
    <w:rPr>
      <w:rFonts w:ascii="宋体"/>
      <w:color w:val="000000"/>
      <w:sz w:val="24"/>
      <w:szCs w:val="16"/>
    </w:rPr>
  </w:style>
  <w:style w:type="paragraph" w:styleId="1313" w:customStyle="1">
    <w:name w:val="Figure and Table Title"/>
    <w:basedOn w:val="775"/>
    <w:uiPriority w:val="0"/>
    <w:qFormat/>
    <w:pPr>
      <w:ind w:left="2160"/>
      <w:jc w:val="left"/>
      <w:widowControl/>
    </w:pPr>
    <w:rPr>
      <w:rFonts w:ascii="Helvetica-Light" w:hAnsi="Helvetica-Light"/>
      <w:b/>
      <w:bCs/>
      <w:sz w:val="20"/>
      <w:lang w:eastAsia="en-US"/>
    </w:rPr>
  </w:style>
  <w:style w:type="paragraph" w:styleId="1314" w:customStyle="1">
    <w:name w:val="Table Text/Title"/>
    <w:basedOn w:val="775"/>
    <w:uiPriority w:val="0"/>
    <w:qFormat/>
    <w:pPr>
      <w:jc w:val="left"/>
      <w:widowControl/>
    </w:pPr>
    <w:rPr>
      <w:rFonts w:ascii="宋体"/>
      <w:b/>
      <w:bCs/>
      <w:sz w:val="20"/>
      <w:szCs w:val="20"/>
      <w:lang w:eastAsia="en-US"/>
    </w:rPr>
  </w:style>
  <w:style w:type="paragraph" w:styleId="1315" w:customStyle="1">
    <w:name w:val="Sourcetext bullet"/>
    <w:basedOn w:val="775"/>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16" w:customStyle="1">
    <w:name w:val="无标题正文 Char Char Char Char Char Char Char Char Char Char Char Char Char Char Char Char Char Char Char Char Char Char Char Char Char Char Char1 Char"/>
    <w:basedOn w:val="775"/>
    <w:uiPriority w:val="0"/>
    <w:qFormat/>
    <w:pPr>
      <w:jc w:val="center"/>
      <w:spacing w:after="160" w:line="240" w:lineRule="exact"/>
      <w:widowControl/>
    </w:pPr>
    <w:rPr>
      <w:rFonts w:ascii="Arial" w:hAnsi="Arial"/>
      <w:sz w:val="20"/>
      <w:szCs w:val="20"/>
      <w:lang w:eastAsia="en-US"/>
    </w:rPr>
  </w:style>
  <w:style w:type="paragraph" w:styleId="1317" w:customStyle="1">
    <w:name w:val="Char Char Char Char"/>
    <w:basedOn w:val="775"/>
    <w:uiPriority w:val="0"/>
    <w:qFormat/>
    <w:pPr>
      <w:ind w:left="560" w:firstLine="200"/>
      <w:jc w:val="left"/>
      <w:spacing w:after="120" w:line="360" w:lineRule="auto"/>
      <w:widowControl/>
    </w:pPr>
    <w:rPr>
      <w:rFonts w:ascii="Verdana" w:hAnsi="Verdana"/>
      <w:sz w:val="24"/>
    </w:rPr>
  </w:style>
  <w:style w:type="character" w:styleId="1318" w:customStyle="1">
    <w:name w:val="style91"/>
    <w:uiPriority w:val="0"/>
    <w:qFormat/>
    <w:rPr>
      <w:color w:val="2060c0"/>
      <w:sz w:val="24"/>
      <w:szCs w:val="24"/>
    </w:rPr>
  </w:style>
  <w:style w:type="paragraph" w:styleId="1319" w:customStyle="1">
    <w:name w:val="标准小四"/>
    <w:basedOn w:val="775"/>
    <w:uiPriority w:val="0"/>
    <w:qFormat/>
    <w:pPr>
      <w:ind w:firstLine="200"/>
      <w:spacing w:line="360" w:lineRule="auto"/>
    </w:pPr>
    <w:rPr>
      <w:rFonts w:ascii="Arial" w:hAnsi="Arial"/>
      <w:sz w:val="24"/>
      <w:szCs w:val="21"/>
    </w:rPr>
  </w:style>
  <w:style w:type="paragraph" w:styleId="1320" w:customStyle="1">
    <w:name w:val="样式 正文首行缩进 + 宋体 首行缩进:  0.74 厘米"/>
    <w:basedOn w:val="1131"/>
    <w:uiPriority w:val="0"/>
    <w:qFormat/>
    <w:pPr>
      <w:ind w:firstLine="210"/>
      <w:spacing w:before="120" w:after="0" w:line="380" w:lineRule="exact"/>
    </w:pPr>
    <w:rPr>
      <w:rFonts w:ascii="宋体" w:cs="宋体"/>
      <w:sz w:val="24"/>
      <w:szCs w:val="20"/>
    </w:rPr>
  </w:style>
  <w:style w:type="paragraph" w:styleId="1321" w:customStyle="1">
    <w:name w:val="默认段落字体 Para Char Char Char Char Char Char Char Char Char1"/>
    <w:basedOn w:val="775"/>
    <w:uiPriority w:val="0"/>
    <w:qFormat/>
    <w:rPr>
      <w:rFonts w:ascii="Tahoma" w:hAnsi="Tahoma"/>
      <w:sz w:val="24"/>
      <w:szCs w:val="20"/>
    </w:rPr>
  </w:style>
  <w:style w:type="paragraph" w:styleId="1322" w:customStyle="1">
    <w:name w:val="正文小四"/>
    <w:basedOn w:val="775"/>
    <w:uiPriority w:val="0"/>
    <w:qFormat/>
    <w:pPr>
      <w:spacing w:line="312" w:lineRule="auto"/>
    </w:pPr>
    <w:rPr>
      <w:sz w:val="24"/>
    </w:rPr>
  </w:style>
  <w:style w:type="paragraph" w:styleId="1323" w:customStyle="1">
    <w:name w:val="ul"/>
    <w:basedOn w:val="775"/>
    <w:uiPriority w:val="0"/>
    <w:qFormat/>
    <w:pPr>
      <w:numPr>
        <w:ilvl w:val="0"/>
        <w:numId w:val="1"/>
      </w:numPr>
      <w:ind w:left="567" w:hanging="85"/>
      <w:jc w:val="left"/>
      <w:spacing w:line="360" w:lineRule="auto"/>
      <w:widowControl/>
      <w:tabs>
        <w:tab w:val="left" w:pos="842" w:leader="none"/>
      </w:tabs>
    </w:pPr>
    <w:rPr>
      <w:sz w:val="24"/>
    </w:rPr>
  </w:style>
  <w:style w:type="paragraph" w:styleId="1324" w:customStyle="1">
    <w:name w:val="Bullet"/>
    <w:basedOn w:val="775"/>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25" w:customStyle="1">
    <w:name w:val="正文（首行缩进）"/>
    <w:basedOn w:val="775"/>
    <w:uiPriority w:val="0"/>
    <w:qFormat/>
    <w:pPr>
      <w:ind w:firstLine="482"/>
      <w:spacing w:before="120" w:line="360" w:lineRule="auto"/>
      <w:widowControl/>
    </w:pPr>
    <w:rPr>
      <w:sz w:val="24"/>
      <w:szCs w:val="20"/>
    </w:rPr>
  </w:style>
  <w:style w:type="character" w:styleId="1326" w:customStyle="1">
    <w:name w:val="style161"/>
    <w:uiPriority w:val="0"/>
    <w:qFormat/>
    <w:rPr>
      <w:rFonts w:ascii="Verdana" w:hAnsi="Verdana" w:eastAsia="宋体"/>
      <w:b/>
      <w:color w:val="0a246a"/>
      <w:sz w:val="24"/>
      <w:szCs w:val="24"/>
      <w:lang w:val="en-US" w:eastAsia="zh-CN" w:bidi="ar-SA"/>
    </w:rPr>
  </w:style>
  <w:style w:type="paragraph" w:styleId="1327" w:customStyle="1">
    <w:name w:val="正文（首行缩进两字）"/>
    <w:basedOn w:val="775"/>
    <w:uiPriority w:val="0"/>
    <w:qFormat/>
    <w:pPr>
      <w:spacing w:line="312" w:lineRule="auto"/>
    </w:pPr>
    <w:rPr>
      <w:rFonts w:ascii="宋体" w:cs="宋体"/>
      <w:sz w:val="24"/>
    </w:rPr>
  </w:style>
  <w:style w:type="paragraph" w:styleId="1328" w:customStyle="1">
    <w:name w:val="正文文字缩进 3"/>
    <w:basedOn w:val="775"/>
    <w:uiPriority w:val="0"/>
    <w:qFormat/>
    <w:pPr>
      <w:ind w:left="420" w:firstLine="420"/>
      <w:spacing w:line="312" w:lineRule="auto"/>
    </w:pPr>
    <w:rPr>
      <w:rFonts w:ascii="黑体" w:hAnsi="黑体" w:cs="宋体"/>
      <w:bCs/>
      <w:color w:val="000000"/>
      <w:sz w:val="24"/>
    </w:rPr>
  </w:style>
  <w:style w:type="paragraph" w:styleId="1329" w:customStyle="1">
    <w:name w:val="技术方案3"/>
    <w:basedOn w:val="775"/>
    <w:uiPriority w:val="0"/>
    <w:qFormat/>
    <w:pPr>
      <w:spacing w:line="360" w:lineRule="auto"/>
    </w:pPr>
    <w:rPr>
      <w:rFonts w:ascii="宋体"/>
      <w:b/>
      <w:bCs/>
      <w:sz w:val="32"/>
    </w:rPr>
  </w:style>
  <w:style w:type="paragraph" w:styleId="1330" w:customStyle="1">
    <w:name w:val="技术方案2"/>
    <w:basedOn w:val="775"/>
    <w:uiPriority w:val="0"/>
    <w:qFormat/>
    <w:pPr>
      <w:spacing w:line="480" w:lineRule="auto"/>
    </w:pPr>
    <w:rPr>
      <w:rFonts w:ascii="宋体"/>
      <w:b/>
      <w:bCs/>
      <w:sz w:val="36"/>
    </w:rPr>
  </w:style>
  <w:style w:type="paragraph" w:styleId="1331" w:customStyle="1">
    <w:name w:val="技术方案正文"/>
    <w:basedOn w:val="775"/>
    <w:uiPriority w:val="0"/>
    <w:qFormat/>
    <w:pPr>
      <w:ind w:firstLine="480"/>
      <w:spacing w:line="360" w:lineRule="auto"/>
    </w:pPr>
    <w:rPr>
      <w:rFonts w:ascii="宋体"/>
      <w:sz w:val="24"/>
    </w:rPr>
  </w:style>
  <w:style w:type="paragraph" w:styleId="133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333" w:customStyle="1">
    <w:name w:val="Normal Paragraph"/>
    <w:basedOn w:val="775"/>
    <w:uiPriority w:val="0"/>
    <w:qFormat/>
    <w:pPr>
      <w:ind w:firstLine="425"/>
      <w:spacing w:before="120" w:line="360" w:lineRule="auto"/>
      <w:widowControl/>
    </w:pPr>
    <w:rPr>
      <w:sz w:val="24"/>
      <w:szCs w:val="20"/>
    </w:rPr>
  </w:style>
  <w:style w:type="paragraph" w:styleId="1334" w:customStyle="1">
    <w:name w:val="Normal Paragraph Char"/>
    <w:basedOn w:val="775"/>
    <w:uiPriority w:val="0"/>
    <w:qFormat/>
    <w:pPr>
      <w:ind w:firstLine="425"/>
      <w:spacing w:before="120" w:line="360" w:lineRule="auto"/>
      <w:widowControl/>
    </w:pPr>
    <w:rPr>
      <w:sz w:val="24"/>
    </w:rPr>
  </w:style>
  <w:style w:type="paragraph" w:styleId="1335" w:customStyle="1">
    <w:name w:val="文档正文"/>
    <w:basedOn w:val="775"/>
    <w:uiPriority w:val="0"/>
    <w:qFormat/>
    <w:rPr>
      <w:rFonts w:ascii="宋体"/>
      <w:szCs w:val="20"/>
    </w:rPr>
  </w:style>
  <w:style w:type="paragraph" w:styleId="1336" w:customStyle="1">
    <w:name w:val="默认段落字体 Para Char Char Char Char Char"/>
    <w:basedOn w:val="775"/>
    <w:uiPriority w:val="0"/>
    <w:qFormat/>
    <w:pPr>
      <w:ind w:firstLine="200"/>
      <w:jc w:val="left"/>
      <w:spacing w:before="100" w:beforeAutospacing="1" w:after="100" w:afterAutospacing="1" w:line="360" w:lineRule="auto"/>
    </w:pPr>
    <w:rPr>
      <w:rFonts w:ascii="Arial" w:hAnsi="Arial"/>
      <w:sz w:val="24"/>
      <w:lang w:eastAsia="en-US"/>
    </w:rPr>
  </w:style>
  <w:style w:type="paragraph" w:styleId="1337" w:customStyle="1">
    <w:name w:val="标题2"/>
    <w:basedOn w:val="775"/>
    <w:uiPriority w:val="0"/>
    <w:qFormat/>
    <w:pPr>
      <w:tabs>
        <w:tab w:val="left" w:pos="0" w:leader="none"/>
      </w:tabs>
    </w:pPr>
    <w:rPr>
      <w:rFonts w:ascii="黑体" w:eastAsia="黑体"/>
      <w:sz w:val="24"/>
    </w:rPr>
  </w:style>
  <w:style w:type="paragraph" w:styleId="1338" w:customStyle="1">
    <w:name w:val="Char Char Char Char Char Char Char Char Char Char Char Char Char1"/>
    <w:basedOn w:val="775"/>
    <w:uiPriority w:val="0"/>
    <w:qFormat/>
    <w:pPr>
      <w:jc w:val="left"/>
      <w:spacing w:after="160" w:line="240" w:lineRule="exact"/>
      <w:widowControl/>
    </w:pPr>
    <w:rPr>
      <w:rFonts w:ascii="Arial" w:hAnsi="Arial" w:eastAsia="Times New Roman" w:cs="Verdana"/>
      <w:b/>
      <w:sz w:val="24"/>
      <w:szCs w:val="32"/>
      <w:lang w:eastAsia="en-US"/>
    </w:rPr>
  </w:style>
  <w:style w:type="paragraph" w:styleId="1339" w:customStyle="1">
    <w:name w:val="样式2"/>
    <w:basedOn w:val="908"/>
    <w:uiPriority w:val="0"/>
    <w:qFormat/>
    <w:pPr>
      <w:spacing w:line="415" w:lineRule="auto"/>
    </w:pPr>
    <w:rPr>
      <w:rFonts w:ascii="Calibri" w:hAnsi="Calibri"/>
      <w:bCs/>
      <w:color w:val="000000"/>
      <w:sz w:val="28"/>
      <w:szCs w:val="28"/>
    </w:rPr>
  </w:style>
  <w:style w:type="paragraph" w:styleId="1340" w:customStyle="1">
    <w:name w:val="样式3"/>
    <w:basedOn w:val="908"/>
    <w:uiPriority w:val="0"/>
    <w:qFormat/>
    <w:pPr>
      <w:spacing w:line="415" w:lineRule="auto"/>
    </w:pPr>
    <w:rPr>
      <w:rFonts w:ascii="Calibri" w:hAnsi="Calibri"/>
      <w:bCs/>
      <w:color w:val="000000"/>
      <w:sz w:val="28"/>
      <w:szCs w:val="28"/>
    </w:rPr>
  </w:style>
  <w:style w:type="paragraph" w:styleId="1341" w:customStyle="1">
    <w:name w:val="样式4"/>
    <w:basedOn w:val="908"/>
    <w:uiPriority w:val="0"/>
    <w:qFormat/>
    <w:pPr>
      <w:spacing w:line="415" w:lineRule="auto"/>
    </w:pPr>
    <w:rPr>
      <w:rFonts w:ascii="Calibri" w:hAnsi="Calibri"/>
      <w:bCs/>
      <w:color w:val="000000"/>
      <w:sz w:val="28"/>
      <w:szCs w:val="28"/>
    </w:rPr>
  </w:style>
  <w:style w:type="paragraph" w:styleId="1342" w:customStyle="1">
    <w:name w:val="样式5"/>
    <w:basedOn w:val="908"/>
    <w:uiPriority w:val="0"/>
    <w:qFormat/>
    <w:pPr>
      <w:spacing w:line="415" w:lineRule="auto"/>
    </w:pPr>
    <w:rPr>
      <w:rFonts w:ascii="Calibri" w:hAnsi="Calibri"/>
      <w:bCs/>
      <w:color w:val="000000"/>
      <w:sz w:val="28"/>
      <w:szCs w:val="28"/>
    </w:rPr>
  </w:style>
  <w:style w:type="paragraph" w:styleId="1343" w:customStyle="1">
    <w:name w:val="样式6"/>
    <w:basedOn w:val="1275"/>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44" w:customStyle="1">
    <w:name w:val="大汉方案正文 Char"/>
    <w:basedOn w:val="775"/>
    <w:uiPriority w:val="0"/>
    <w:qFormat/>
    <w:pPr>
      <w:ind w:firstLine="200"/>
      <w:spacing w:line="360" w:lineRule="auto"/>
    </w:pPr>
    <w:rPr>
      <w:rFonts w:ascii="Arial" w:hAnsi="Arial"/>
      <w:sz w:val="24"/>
    </w:rPr>
  </w:style>
  <w:style w:type="character" w:styleId="1345" w:customStyle="1">
    <w:name w:val="标题 2 Char Char Char"/>
    <w:uiPriority w:val="0"/>
    <w:qFormat/>
    <w:rPr>
      <w:rFonts w:ascii="Arial" w:hAnsi="Arial" w:eastAsia="宋体" w:cs="Arial"/>
      <w:b/>
      <w:bCs/>
      <w:i/>
      <w:iCs/>
      <w:sz w:val="28"/>
      <w:szCs w:val="28"/>
      <w:lang w:val="en-US" w:eastAsia="zh-CN" w:bidi="ar-SA"/>
    </w:rPr>
  </w:style>
  <w:style w:type="character" w:styleId="1346" w:customStyle="1">
    <w:name w:val="question-title"/>
    <w:uiPriority w:val="0"/>
    <w:qFormat/>
  </w:style>
  <w:style w:type="paragraph" w:styleId="1347" w:customStyle="1">
    <w:name w:val="说明书2级标题"/>
    <w:basedOn w:val="775"/>
    <w:next w:val="1348"/>
    <w:uiPriority w:val="0"/>
    <w:qFormat/>
    <w:pPr>
      <w:numPr>
        <w:ilvl w:val="2"/>
        <w:numId w:val="2"/>
      </w:numPr>
      <w:spacing w:before="100"/>
    </w:pPr>
    <w:rPr>
      <w:rFonts w:eastAsia="黑体"/>
      <w:sz w:val="28"/>
      <w:szCs w:val="28"/>
    </w:rPr>
  </w:style>
  <w:style w:type="paragraph" w:styleId="1348" w:customStyle="1">
    <w:name w:val="说明书3级标题"/>
    <w:basedOn w:val="775"/>
    <w:next w:val="775"/>
    <w:uiPriority w:val="0"/>
    <w:qFormat/>
    <w:pPr>
      <w:numPr>
        <w:ilvl w:val="2"/>
        <w:numId w:val="3"/>
      </w:numPr>
      <w:spacing w:line="360" w:lineRule="auto"/>
    </w:pPr>
    <w:rPr>
      <w:rFonts w:eastAsia="黑体"/>
      <w:sz w:val="24"/>
    </w:rPr>
  </w:style>
  <w:style w:type="character" w:styleId="1349" w:customStyle="1">
    <w:name w:val="style15"/>
    <w:uiPriority w:val="0"/>
    <w:qFormat/>
  </w:style>
  <w:style w:type="paragraph" w:styleId="1350" w:customStyle="1">
    <w:name w:val="列出段落[858D7CFB-ED40-4347-BF05-701D383B685F][858D7CFB-ED40-4347-BF05-701D383B685F]"/>
    <w:basedOn w:val="775"/>
    <w:uiPriority w:val="0"/>
    <w:qFormat/>
    <w:pPr>
      <w:ind w:firstLine="200"/>
    </w:pPr>
  </w:style>
  <w:style w:type="paragraph" w:styleId="1351" w:customStyle="1">
    <w:name w:val="默认段落字体 Para Char Char Char Char Char Char Char Char Char1 Char Char Char Char Char Char Char Char"/>
    <w:basedOn w:val="1096"/>
    <w:uiPriority w:val="0"/>
    <w:qFormat/>
  </w:style>
  <w:style w:type="paragraph" w:styleId="1352" w:customStyle="1">
    <w:name w:val="style42"/>
    <w:basedOn w:val="775"/>
    <w:uiPriority w:val="0"/>
    <w:qFormat/>
    <w:pPr>
      <w:jc w:val="left"/>
      <w:spacing w:before="100" w:beforeAutospacing="1" w:after="100" w:afterAutospacing="1"/>
      <w:widowControl/>
    </w:pPr>
    <w:rPr>
      <w:rFonts w:ascii="宋体" w:cs="宋体"/>
      <w:color w:val="000000"/>
      <w:sz w:val="15"/>
      <w:szCs w:val="15"/>
    </w:rPr>
  </w:style>
  <w:style w:type="paragraph" w:styleId="1353" w:customStyle="1">
    <w:name w:val="Char Char1 Char Char Char Char Char Char Char Char"/>
    <w:basedOn w:val="775"/>
    <w:uiPriority w:val="0"/>
    <w:qFormat/>
    <w:pPr>
      <w:jc w:val="left"/>
      <w:spacing w:after="160" w:line="240" w:lineRule="exact"/>
      <w:widowControl/>
    </w:pPr>
  </w:style>
  <w:style w:type="paragraph" w:styleId="1354" w:customStyle="1">
    <w:name w:val="技术方案正文样式"/>
    <w:basedOn w:val="775"/>
    <w:uiPriority w:val="0"/>
    <w:qFormat/>
    <w:pPr>
      <w:ind w:firstLine="200"/>
      <w:spacing w:line="400" w:lineRule="exact"/>
    </w:pPr>
    <w:rPr>
      <w:rFonts w:ascii="宋体" w:cs="宋体"/>
      <w:sz w:val="24"/>
      <w:szCs w:val="21"/>
    </w:rPr>
  </w:style>
  <w:style w:type="paragraph" w:styleId="1355" w:customStyle="1">
    <w:name w:val="修订1"/>
    <w:uiPriority w:val="0"/>
    <w:qFormat/>
    <w:rPr>
      <w:rFonts w:hint="default" w:ascii="Times New Roman" w:hAnsi="Times New Roman" w:eastAsia="宋体" w:cs="Times New Roman"/>
      <w:sz w:val="21"/>
      <w:szCs w:val="24"/>
      <w:lang w:val="en-US" w:eastAsia="zh-CN" w:bidi="ar-SA"/>
    </w:rPr>
  </w:style>
  <w:style w:type="paragraph" w:styleId="1356" w:customStyle="1">
    <w:name w:val="D&amp;L"/>
    <w:basedOn w:val="1117"/>
    <w:uiPriority w:val="0"/>
    <w:qFormat/>
    <w:pPr>
      <w:spacing w:line="240" w:lineRule="atLeast"/>
      <w:pBdr>
        <w:bottom w:val="single" w:color="000000" w:sz="18" w:space="1"/>
      </w:pBdr>
    </w:pPr>
    <w:rPr>
      <w:sz w:val="24"/>
      <w:szCs w:val="20"/>
    </w:rPr>
  </w:style>
  <w:style w:type="paragraph" w:styleId="1357" w:customStyle="1">
    <w:name w:val="样式 标题 2 + Times New Roman 四号 非加粗 段前: 5 磅 段后: 0 磅 行距: 固定值 20..."/>
    <w:basedOn w:val="906"/>
    <w:uiPriority w:val="0"/>
    <w:qFormat/>
    <w:pPr>
      <w:spacing w:before="100" w:after="0" w:line="400" w:lineRule="exact"/>
    </w:pPr>
    <w:rPr>
      <w:rFonts w:ascii="Times New Roman" w:hAnsi="Times New Roman" w:cs="宋体"/>
      <w:b w:val="0"/>
      <w:sz w:val="28"/>
    </w:rPr>
  </w:style>
  <w:style w:type="paragraph" w:styleId="1358" w:customStyle="1">
    <w:name w:val="Char Char Char Char Char Char Char1 Char"/>
    <w:basedOn w:val="775"/>
    <w:uiPriority w:val="0"/>
    <w:qFormat/>
    <w:rPr>
      <w:rFonts w:ascii="Tahoma" w:hAnsi="Tahoma"/>
      <w:sz w:val="24"/>
      <w:szCs w:val="20"/>
    </w:rPr>
  </w:style>
  <w:style w:type="paragraph" w:styleId="1359" w:customStyle="1">
    <w:name w:val="TOC 标题2"/>
    <w:basedOn w:val="904"/>
    <w:next w:val="775"/>
    <w:uiPriority w:val="0"/>
    <w:qFormat/>
    <w:pPr>
      <w:spacing w:before="480" w:after="0" w:line="276" w:lineRule="auto"/>
      <w:widowControl/>
      <w:outlineLvl w:val="9"/>
    </w:pPr>
    <w:rPr>
      <w:rFonts w:ascii="Cambria" w:hAnsi="Cambria"/>
      <w:color w:val="365f91"/>
      <w:sz w:val="28"/>
    </w:rPr>
  </w:style>
  <w:style w:type="paragraph" w:styleId="1360" w:customStyle="1">
    <w:name w:val="无间隔11"/>
    <w:link w:val="1361"/>
    <w:uiPriority w:val="0"/>
    <w:qFormat/>
    <w:rPr>
      <w:rFonts w:hint="default" w:ascii="Calibri" w:hAnsi="Calibri" w:eastAsia="宋体" w:cs="Times New Roman"/>
      <w:sz w:val="22"/>
      <w:lang w:val="en-US" w:eastAsia="zh-CN" w:bidi="ar-SA"/>
    </w:rPr>
  </w:style>
  <w:style w:type="character" w:styleId="1361" w:customStyle="1">
    <w:name w:val="无间隔 字符"/>
    <w:link w:val="1360"/>
    <w:uiPriority w:val="0"/>
    <w:qFormat/>
    <w:rPr>
      <w:rFonts w:ascii="Calibri" w:hAnsi="Calibri"/>
      <w:sz w:val="22"/>
      <w:lang w:bidi="ar-SA"/>
    </w:rPr>
  </w:style>
  <w:style w:type="paragraph" w:styleId="1362" w:customStyle="1">
    <w:name w:val="Normal_0"/>
    <w:uiPriority w:val="0"/>
    <w:qFormat/>
    <w:rPr>
      <w:rFonts w:hint="default" w:ascii="黑体" w:hAnsi="黑体" w:eastAsia="黑体" w:cs="Times New Roman"/>
      <w:b/>
      <w:sz w:val="32"/>
      <w:szCs w:val="24"/>
      <w:lang w:val="en-US" w:eastAsia="zh-CN" w:bidi="ar-SA"/>
    </w:rPr>
  </w:style>
  <w:style w:type="paragraph" w:styleId="1363"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4" w:customStyle="1">
    <w:name w:val="Normal_1"/>
    <w:uiPriority w:val="0"/>
    <w:qFormat/>
    <w:rPr>
      <w:rFonts w:hint="default" w:ascii="黑体" w:hAnsi="黑体" w:eastAsia="黑体" w:cs="Times New Roman"/>
      <w:b/>
      <w:sz w:val="32"/>
      <w:szCs w:val="24"/>
      <w:lang w:val="en-US" w:eastAsia="zh-CN" w:bidi="ar-SA"/>
    </w:rPr>
  </w:style>
  <w:style w:type="paragraph" w:styleId="1365"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6"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7"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8" w:customStyle="1">
    <w:name w:val="Normal_2"/>
    <w:uiPriority w:val="0"/>
    <w:qFormat/>
    <w:rPr>
      <w:rFonts w:hint="default" w:ascii="黑体" w:hAnsi="黑体" w:eastAsia="黑体" w:cs="Times New Roman"/>
      <w:b/>
      <w:sz w:val="32"/>
      <w:szCs w:val="24"/>
      <w:lang w:val="en-US" w:eastAsia="zh-CN" w:bidi="ar-SA"/>
    </w:rPr>
  </w:style>
  <w:style w:type="paragraph" w:styleId="1369"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0" w:customStyle="1">
    <w:name w:val="Normal_3"/>
    <w:uiPriority w:val="0"/>
    <w:qFormat/>
    <w:rPr>
      <w:rFonts w:hint="default" w:ascii="黑体" w:hAnsi="黑体" w:eastAsia="黑体" w:cs="Times New Roman"/>
      <w:b/>
      <w:sz w:val="32"/>
      <w:szCs w:val="24"/>
      <w:lang w:val="en-US" w:eastAsia="zh-CN" w:bidi="ar-SA"/>
    </w:rPr>
  </w:style>
  <w:style w:type="paragraph" w:styleId="1371" w:customStyle="1">
    <w:name w:val="Normal_4"/>
    <w:uiPriority w:val="0"/>
    <w:qFormat/>
    <w:rPr>
      <w:rFonts w:hint="default" w:ascii="黑体" w:hAnsi="黑体" w:eastAsia="黑体" w:cs="Times New Roman"/>
      <w:b/>
      <w:sz w:val="32"/>
      <w:szCs w:val="24"/>
      <w:lang w:val="en-US" w:eastAsia="zh-CN" w:bidi="ar-SA"/>
    </w:rPr>
  </w:style>
  <w:style w:type="paragraph" w:styleId="1372" w:customStyle="1">
    <w:name w:val="Normal_5"/>
    <w:uiPriority w:val="0"/>
    <w:qFormat/>
    <w:rPr>
      <w:rFonts w:hint="default" w:ascii="黑体" w:hAnsi="黑体" w:eastAsia="黑体" w:cs="Times New Roman"/>
      <w:b/>
      <w:sz w:val="32"/>
      <w:szCs w:val="24"/>
      <w:lang w:val="en-US" w:eastAsia="zh-CN" w:bidi="ar-SA"/>
    </w:rPr>
  </w:style>
  <w:style w:type="paragraph" w:styleId="1373"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4" w:customStyle="1">
    <w:name w:val="Normal_6"/>
    <w:uiPriority w:val="0"/>
    <w:qFormat/>
    <w:rPr>
      <w:rFonts w:hint="default" w:ascii="黑体" w:hAnsi="黑体" w:eastAsia="黑体" w:cs="Times New Roman"/>
      <w:b/>
      <w:sz w:val="32"/>
      <w:szCs w:val="24"/>
      <w:lang w:val="en-US" w:eastAsia="zh-CN" w:bidi="ar-SA"/>
    </w:rPr>
  </w:style>
  <w:style w:type="paragraph" w:styleId="1375"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76" w:customStyle="1">
    <w:name w:val="Normal_7"/>
    <w:uiPriority w:val="0"/>
    <w:qFormat/>
    <w:rPr>
      <w:rFonts w:hint="default" w:ascii="黑体" w:hAnsi="黑体" w:eastAsia="黑体" w:cs="Times New Roman"/>
      <w:b/>
      <w:sz w:val="32"/>
      <w:szCs w:val="24"/>
      <w:lang w:val="en-US" w:eastAsia="zh-CN" w:bidi="ar-SA"/>
    </w:rPr>
  </w:style>
  <w:style w:type="paragraph" w:styleId="1377"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78" w:customStyle="1">
    <w:name w:val="Normal_9"/>
    <w:uiPriority w:val="0"/>
    <w:qFormat/>
    <w:rPr>
      <w:rFonts w:hint="default" w:ascii="黑体" w:hAnsi="黑体" w:eastAsia="黑体" w:cs="Times New Roman"/>
      <w:b/>
      <w:sz w:val="32"/>
      <w:szCs w:val="24"/>
      <w:lang w:val="en-US" w:eastAsia="zh-CN" w:bidi="ar-SA"/>
    </w:rPr>
  </w:style>
  <w:style w:type="paragraph" w:styleId="1379"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80" w:customStyle="1">
    <w:name w:val="Normal_10"/>
    <w:uiPriority w:val="0"/>
    <w:qFormat/>
    <w:rPr>
      <w:rFonts w:hint="default" w:ascii="黑体" w:hAnsi="黑体" w:eastAsia="黑体" w:cs="Times New Roman"/>
      <w:b/>
      <w:sz w:val="32"/>
      <w:szCs w:val="24"/>
      <w:lang w:val="en-US" w:eastAsia="zh-CN" w:bidi="ar-SA"/>
    </w:rPr>
  </w:style>
  <w:style w:type="paragraph" w:styleId="1381"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2" w:customStyle="1">
    <w:name w:val="正文缩进_0"/>
    <w:basedOn w:val="1381"/>
    <w:link w:val="1383"/>
    <w:uiPriority w:val="0"/>
    <w:unhideWhenUsed/>
    <w:qFormat/>
    <w:pPr>
      <w:ind w:firstLine="420"/>
    </w:pPr>
    <w:rPr>
      <w:szCs w:val="22"/>
    </w:rPr>
  </w:style>
  <w:style w:type="character" w:styleId="1383" w:customStyle="1">
    <w:name w:val="正文缩进 Char1_0"/>
    <w:link w:val="1382"/>
    <w:uiPriority w:val="0"/>
    <w:qFormat/>
    <w:rPr>
      <w:sz w:val="21"/>
      <w:szCs w:val="22"/>
    </w:rPr>
  </w:style>
  <w:style w:type="paragraph" w:styleId="1384" w:customStyle="1">
    <w:name w:val="纯文本_0"/>
    <w:basedOn w:val="1381"/>
    <w:link w:val="1385"/>
    <w:uiPriority w:val="0"/>
    <w:unhideWhenUsed/>
    <w:qFormat/>
    <w:rPr>
      <w:rFonts w:ascii="宋体" w:hAnsi="Courier New"/>
      <w:szCs w:val="21"/>
    </w:rPr>
  </w:style>
  <w:style w:type="character" w:styleId="1385" w:customStyle="1">
    <w:name w:val="纯文本 Char_0"/>
    <w:link w:val="1384"/>
    <w:uiPriority w:val="0"/>
    <w:qFormat/>
    <w:rPr>
      <w:rFonts w:ascii="宋体" w:hAnsi="Courier New" w:cs="Courier New"/>
      <w:sz w:val="21"/>
      <w:szCs w:val="21"/>
    </w:rPr>
  </w:style>
  <w:style w:type="paragraph" w:styleId="1386" w:customStyle="1">
    <w:name w:val="Normal_11"/>
    <w:uiPriority w:val="0"/>
    <w:qFormat/>
    <w:rPr>
      <w:rFonts w:hint="default" w:ascii="黑体" w:hAnsi="黑体" w:eastAsia="黑体" w:cs="Times New Roman"/>
      <w:b/>
      <w:sz w:val="32"/>
      <w:szCs w:val="24"/>
      <w:lang w:val="en-US" w:eastAsia="zh-CN" w:bidi="ar-SA"/>
    </w:rPr>
  </w:style>
  <w:style w:type="paragraph" w:styleId="1387"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8" w:customStyle="1">
    <w:name w:val="Normal_12"/>
    <w:uiPriority w:val="0"/>
    <w:qFormat/>
    <w:rPr>
      <w:rFonts w:hint="default" w:ascii="黑体" w:hAnsi="黑体" w:eastAsia="黑体" w:cs="Times New Roman"/>
      <w:b/>
      <w:sz w:val="32"/>
      <w:szCs w:val="24"/>
      <w:lang w:val="en-US" w:eastAsia="zh-CN" w:bidi="ar-SA"/>
    </w:rPr>
  </w:style>
  <w:style w:type="paragraph" w:styleId="1389"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0" w:customStyle="1">
    <w:name w:val="Normal_13"/>
    <w:uiPriority w:val="0"/>
    <w:qFormat/>
    <w:rPr>
      <w:rFonts w:hint="default" w:ascii="黑体" w:hAnsi="黑体" w:eastAsia="黑体" w:cs="Times New Roman"/>
      <w:b/>
      <w:sz w:val="32"/>
      <w:szCs w:val="24"/>
      <w:lang w:val="en-US" w:eastAsia="zh-CN" w:bidi="ar-SA"/>
    </w:rPr>
  </w:style>
  <w:style w:type="paragraph" w:styleId="1391"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2" w:customStyle="1">
    <w:name w:val="Normal_14"/>
    <w:uiPriority w:val="0"/>
    <w:qFormat/>
    <w:rPr>
      <w:rFonts w:hint="default" w:ascii="黑体" w:hAnsi="黑体" w:eastAsia="黑体" w:cs="Times New Roman"/>
      <w:b/>
      <w:sz w:val="32"/>
      <w:szCs w:val="24"/>
      <w:lang w:val="en-US" w:eastAsia="zh-CN" w:bidi="ar-SA"/>
    </w:rPr>
  </w:style>
  <w:style w:type="paragraph" w:styleId="1393"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4" w:customStyle="1">
    <w:name w:val="Normal_15"/>
    <w:uiPriority w:val="0"/>
    <w:qFormat/>
    <w:rPr>
      <w:rFonts w:hint="default" w:ascii="黑体" w:hAnsi="黑体" w:eastAsia="黑体" w:cs="Times New Roman"/>
      <w:b/>
      <w:sz w:val="32"/>
      <w:szCs w:val="24"/>
      <w:lang w:val="en-US" w:eastAsia="zh-CN" w:bidi="ar-SA"/>
    </w:rPr>
  </w:style>
  <w:style w:type="paragraph" w:styleId="1395"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6" w:customStyle="1">
    <w:name w:val="Normal_16"/>
    <w:uiPriority w:val="0"/>
    <w:qFormat/>
    <w:rPr>
      <w:rFonts w:hint="default" w:ascii="黑体" w:hAnsi="黑体" w:eastAsia="黑体" w:cs="Times New Roman"/>
      <w:b/>
      <w:sz w:val="32"/>
      <w:szCs w:val="24"/>
      <w:lang w:val="en-US" w:eastAsia="zh-CN" w:bidi="ar-SA"/>
    </w:rPr>
  </w:style>
  <w:style w:type="paragraph" w:styleId="1397"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8"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99" w:customStyle="1">
    <w:name w:val="Normal_17"/>
    <w:uiPriority w:val="0"/>
    <w:qFormat/>
    <w:rPr>
      <w:rFonts w:hint="default" w:ascii="黑体" w:hAnsi="黑体" w:eastAsia="黑体" w:cs="Times New Roman"/>
      <w:b/>
      <w:sz w:val="32"/>
      <w:szCs w:val="24"/>
      <w:lang w:val="en-US" w:eastAsia="zh-CN" w:bidi="ar-SA"/>
    </w:rPr>
  </w:style>
  <w:style w:type="paragraph" w:styleId="1400" w:customStyle="1">
    <w:name w:val="Normal_18"/>
    <w:uiPriority w:val="0"/>
    <w:qFormat/>
    <w:rPr>
      <w:rFonts w:hint="default" w:ascii="黑体" w:hAnsi="黑体" w:eastAsia="黑体" w:cs="Times New Roman"/>
      <w:b/>
      <w:sz w:val="32"/>
      <w:szCs w:val="24"/>
      <w:lang w:val="en-US" w:eastAsia="zh-CN" w:bidi="ar-SA"/>
    </w:rPr>
  </w:style>
  <w:style w:type="paragraph" w:styleId="1401"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402" w:customStyle="1">
    <w:name w:val="Normal_0_0"/>
    <w:uiPriority w:val="0"/>
    <w:qFormat/>
    <w:rPr>
      <w:rFonts w:hint="default" w:ascii="黑体" w:hAnsi="黑体" w:eastAsia="黑体" w:cs="Times New Roman"/>
      <w:b/>
      <w:sz w:val="40"/>
      <w:szCs w:val="24"/>
      <w:lang w:val="en-US" w:eastAsia="zh-CN" w:bidi="ar-SA"/>
    </w:rPr>
  </w:style>
  <w:style w:type="paragraph" w:styleId="1403"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404"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5" w:customStyle="1">
    <w:name w:val="正文_16"/>
    <w:next w:val="1406"/>
    <w:uiPriority w:val="0"/>
    <w:qFormat/>
    <w:pPr>
      <w:jc w:val="both"/>
      <w:widowControl w:val="off"/>
    </w:pPr>
    <w:rPr>
      <w:rFonts w:hint="default" w:ascii="Calibri" w:hAnsi="Calibri" w:eastAsia="宋体" w:cs="Times New Roman"/>
      <w:sz w:val="21"/>
      <w:szCs w:val="22"/>
      <w:lang w:val="en-US" w:eastAsia="zh-CN" w:bidi="ar-SA"/>
    </w:rPr>
  </w:style>
  <w:style w:type="paragraph" w:styleId="1406" w:customStyle="1">
    <w:name w:val="正文1_0_0"/>
    <w:basedOn w:val="831"/>
    <w:next w:val="1407"/>
    <w:uiPriority w:val="0"/>
    <w:qFormat/>
    <w:rPr>
      <w:rFonts w:ascii="Times New Roman" w:hAnsi="Times New Roman" w:eastAsia="Times New Roman" w:cs="Times New Roman"/>
      <w:sz w:val="24"/>
      <w:szCs w:val="24"/>
      <w:lang w:val="en-US" w:eastAsia="zh-CN" w:bidi="ar-SA"/>
    </w:rPr>
  </w:style>
  <w:style w:type="paragraph" w:styleId="1407" w:customStyle="1">
    <w:name w:val="UserStyle_0"/>
    <w:basedOn w:val="1408"/>
    <w:uiPriority w:val="0"/>
    <w:qFormat/>
    <w:pPr>
      <w:ind w:left="420"/>
      <w:spacing w:beforeAutospacing="0" w:after="120" w:afterAutospacing="0"/>
    </w:pPr>
  </w:style>
  <w:style w:type="paragraph" w:styleId="1408" w:customStyle="1">
    <w:name w:val="正文2"/>
    <w:next w:val="1407"/>
    <w:uiPriority w:val="0"/>
    <w:qFormat/>
    <w:pPr>
      <w:jc w:val="both"/>
      <w:widowControl w:val="off"/>
    </w:pPr>
    <w:rPr>
      <w:rFonts w:hint="default" w:ascii="Calibri" w:hAnsi="Calibri" w:eastAsia="宋体" w:cs="黑体"/>
      <w:sz w:val="21"/>
      <w:szCs w:val="22"/>
      <w:lang w:val="en-US" w:eastAsia="zh-CN" w:bidi="ar-SA"/>
    </w:rPr>
  </w:style>
  <w:style w:type="paragraph" w:styleId="1409" w:customStyle="1">
    <w:name w:val="正文首行缩进 2_0"/>
    <w:basedOn w:val="833"/>
    <w:uiPriority w:val="0"/>
    <w:qFormat/>
    <w:pPr>
      <w:ind w:left="200" w:firstLine="200"/>
      <w:spacing w:after="120"/>
    </w:pPr>
    <w:rPr>
      <w:rFonts w:ascii="Times New Roman" w:hAnsi="Times New Roman"/>
      <w:sz w:val="24"/>
      <w:szCs w:val="24"/>
    </w:rPr>
  </w:style>
  <w:style w:type="paragraph" w:styleId="1410" w:customStyle="1">
    <w:name w:val="正文_2"/>
    <w:next w:val="833"/>
    <w:uiPriority w:val="0"/>
    <w:qFormat/>
    <w:pPr>
      <w:jc w:val="both"/>
      <w:widowControl w:val="off"/>
    </w:pPr>
    <w:rPr>
      <w:rFonts w:hint="default" w:ascii="Calibri" w:hAnsi="Calibri" w:eastAsia="宋体" w:cs="Times New Roman"/>
      <w:sz w:val="21"/>
      <w:szCs w:val="22"/>
      <w:lang w:val="en-US" w:eastAsia="zh-CN" w:bidi="ar-SA"/>
    </w:rPr>
  </w:style>
  <w:style w:type="paragraph" w:styleId="1411" w:customStyle="1">
    <w:name w:val="标题 12"/>
    <w:basedOn w:val="830"/>
    <w:next w:val="830"/>
    <w:uiPriority w:val="0"/>
    <w:qFormat/>
    <w:pPr>
      <w:keepLines/>
      <w:keepNext/>
      <w:spacing w:before="340" w:after="330" w:line="576" w:lineRule="auto"/>
      <w:outlineLvl w:val="0"/>
    </w:pPr>
    <w:rPr>
      <w:sz w:val="44"/>
      <w:szCs w:val="20"/>
    </w:rPr>
  </w:style>
  <w:style w:type="paragraph" w:styleId="1412" w:customStyle="1">
    <w:name w:val="段_0"/>
    <w:next w:val="1413"/>
    <w:uiPriority w:val="0"/>
    <w:qFormat/>
    <w:pPr>
      <w:ind w:firstLine="200"/>
      <w:jc w:val="both"/>
    </w:pPr>
    <w:rPr>
      <w:rFonts w:hint="default" w:ascii="宋体" w:hAnsi="Times New Roman" w:eastAsia="宋体" w:cs="Times New Roman"/>
      <w:sz w:val="21"/>
      <w:lang w:val="en-US" w:eastAsia="zh-CN" w:bidi="ar-SA"/>
    </w:rPr>
  </w:style>
  <w:style w:type="paragraph" w:styleId="1413" w:customStyle="1">
    <w:name w:val="Normal_19_1"/>
    <w:next w:val="1414"/>
    <w:uiPriority w:val="0"/>
    <w:qFormat/>
    <w:rPr>
      <w:rFonts w:hint="default" w:ascii="黑体" w:hAnsi="黑体" w:eastAsia="黑体" w:cs="Times New Roman"/>
      <w:b/>
      <w:sz w:val="32"/>
      <w:szCs w:val="24"/>
      <w:lang w:val="en-US" w:eastAsia="zh-CN" w:bidi="ar-SA"/>
    </w:rPr>
  </w:style>
  <w:style w:type="paragraph" w:styleId="1414" w:customStyle="1">
    <w:name w:val="文本块1_0"/>
    <w:basedOn w:val="1413"/>
    <w:uiPriority w:val="0"/>
    <w:qFormat/>
    <w:pPr>
      <w:ind w:left="1548" w:right="12" w:hanging="2405"/>
      <w:spacing w:line="360" w:lineRule="exact"/>
    </w:pPr>
    <w:rPr>
      <w:rFonts w:ascii="宋体"/>
      <w:bCs/>
      <w:sz w:val="28"/>
    </w:rPr>
  </w:style>
  <w:style w:type="paragraph" w:styleId="1415" w:customStyle="1">
    <w:name w:val="Normal_0_1"/>
    <w:uiPriority w:val="0"/>
    <w:qFormat/>
    <w:rPr>
      <w:rFonts w:hint="default" w:ascii="黑体" w:hAnsi="黑体" w:eastAsia="黑体" w:cs="Times New Roman"/>
      <w:b/>
      <w:sz w:val="32"/>
      <w:szCs w:val="24"/>
      <w:lang w:val="en-US" w:eastAsia="zh-CN" w:bidi="ar-SA"/>
    </w:rPr>
  </w:style>
  <w:style w:type="paragraph" w:styleId="1416"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417" w:customStyle="1">
    <w:name w:val="Normal_2_0"/>
    <w:uiPriority w:val="0"/>
    <w:qFormat/>
    <w:rPr>
      <w:rFonts w:hint="default" w:ascii="黑体" w:hAnsi="黑体" w:eastAsia="黑体" w:cs="Times New Roman"/>
      <w:b/>
      <w:sz w:val="32"/>
      <w:szCs w:val="24"/>
      <w:lang w:val="en-US" w:eastAsia="zh-CN" w:bidi="ar-SA"/>
    </w:rPr>
  </w:style>
  <w:style w:type="paragraph" w:styleId="1418"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419" w:customStyle="1">
    <w:name w:val="Normal_3_0"/>
    <w:uiPriority w:val="0"/>
    <w:qFormat/>
    <w:rPr>
      <w:rFonts w:hint="default" w:ascii="黑体" w:hAnsi="黑体" w:eastAsia="黑体" w:cs="Times New Roman"/>
      <w:b/>
      <w:sz w:val="32"/>
      <w:szCs w:val="24"/>
      <w:lang w:val="en-US" w:eastAsia="zh-CN" w:bidi="ar-SA"/>
    </w:rPr>
  </w:style>
  <w:style w:type="paragraph" w:styleId="1420"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421" w:customStyle="1">
    <w:name w:val="Normal_5_0"/>
    <w:uiPriority w:val="0"/>
    <w:qFormat/>
    <w:rPr>
      <w:rFonts w:hint="default" w:ascii="黑体" w:hAnsi="黑体" w:eastAsia="黑体" w:cs="Times New Roman"/>
      <w:b/>
      <w:sz w:val="32"/>
      <w:szCs w:val="24"/>
      <w:lang w:val="en-US" w:eastAsia="zh-CN" w:bidi="ar-SA"/>
    </w:rPr>
  </w:style>
  <w:style w:type="paragraph" w:styleId="1422"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423" w:customStyle="1">
    <w:name w:val="Normal_6_0"/>
    <w:uiPriority w:val="0"/>
    <w:qFormat/>
    <w:rPr>
      <w:rFonts w:hint="default" w:ascii="黑体" w:hAnsi="黑体" w:eastAsia="黑体" w:cs="Times New Roman"/>
      <w:b/>
      <w:sz w:val="32"/>
      <w:szCs w:val="24"/>
      <w:lang w:val="en-US" w:eastAsia="zh-CN" w:bidi="ar-SA"/>
    </w:rPr>
  </w:style>
  <w:style w:type="paragraph" w:styleId="1424"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425" w:customStyle="1">
    <w:name w:val="Normal_8_0"/>
    <w:uiPriority w:val="0"/>
    <w:qFormat/>
    <w:rPr>
      <w:rFonts w:hint="default" w:ascii="黑体" w:hAnsi="黑体" w:eastAsia="黑体" w:cs="Times New Roman"/>
      <w:b/>
      <w:sz w:val="32"/>
      <w:szCs w:val="24"/>
      <w:lang w:val="en-US" w:eastAsia="zh-CN" w:bidi="ar-SA"/>
    </w:rPr>
  </w:style>
  <w:style w:type="paragraph" w:styleId="1426"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427"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428" w:customStyle="1">
    <w:name w:val="Normal_11_0"/>
    <w:uiPriority w:val="0"/>
    <w:qFormat/>
    <w:rPr>
      <w:rFonts w:hint="default" w:ascii="黑体" w:hAnsi="黑体" w:eastAsia="黑体" w:cs="Times New Roman"/>
      <w:b/>
      <w:sz w:val="32"/>
      <w:szCs w:val="24"/>
      <w:lang w:val="en-US" w:eastAsia="zh-CN" w:bidi="ar-SA"/>
    </w:rPr>
  </w:style>
  <w:style w:type="paragraph" w:styleId="1429"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430" w:customStyle="1">
    <w:name w:val="Normal_12_0"/>
    <w:uiPriority w:val="0"/>
    <w:qFormat/>
    <w:rPr>
      <w:rFonts w:hint="default" w:ascii="黑体" w:hAnsi="黑体" w:eastAsia="黑体" w:cs="Times New Roman"/>
      <w:b/>
      <w:sz w:val="32"/>
      <w:szCs w:val="24"/>
      <w:lang w:val="en-US" w:eastAsia="zh-CN" w:bidi="ar-SA"/>
    </w:rPr>
  </w:style>
  <w:style w:type="paragraph" w:styleId="1431"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43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433"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43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35" w:customStyle="1">
    <w:name w:val="列出段落_2"/>
    <w:basedOn w:val="1433"/>
    <w:uiPriority w:val="34"/>
    <w:qFormat/>
    <w:pPr>
      <w:ind w:firstLine="420"/>
    </w:pPr>
  </w:style>
  <w:style w:type="paragraph" w:styleId="1436" w:customStyle="1">
    <w:name w:val="Normal_14_0"/>
    <w:uiPriority w:val="0"/>
    <w:qFormat/>
    <w:rPr>
      <w:rFonts w:hint="default" w:ascii="黑体" w:hAnsi="黑体" w:eastAsia="黑体" w:cs="Times New Roman"/>
      <w:b/>
      <w:sz w:val="32"/>
      <w:szCs w:val="24"/>
      <w:lang w:val="en-US" w:eastAsia="zh-CN" w:bidi="ar-SA"/>
    </w:rPr>
  </w:style>
  <w:style w:type="paragraph" w:styleId="1437"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8" w:customStyle="1">
    <w:name w:val="正文缩进_0_0"/>
    <w:basedOn w:val="1437"/>
    <w:link w:val="1439"/>
    <w:uiPriority w:val="0"/>
    <w:unhideWhenUsed/>
    <w:qFormat/>
    <w:pPr>
      <w:ind w:firstLine="420"/>
    </w:pPr>
    <w:rPr>
      <w:rFonts w:ascii="Calibri" w:hAnsi="Calibri"/>
      <w:szCs w:val="22"/>
    </w:rPr>
  </w:style>
  <w:style w:type="character" w:styleId="1439" w:customStyle="1">
    <w:name w:val="正文缩进 Char1_0_0"/>
    <w:link w:val="1438"/>
    <w:uiPriority w:val="0"/>
    <w:qFormat/>
    <w:rPr>
      <w:sz w:val="21"/>
      <w:szCs w:val="22"/>
    </w:rPr>
  </w:style>
  <w:style w:type="paragraph" w:styleId="1440" w:customStyle="1">
    <w:name w:val="纯文本_0_0"/>
    <w:basedOn w:val="1441"/>
    <w:link w:val="1442"/>
    <w:uiPriority w:val="0"/>
    <w:unhideWhenUsed/>
    <w:qFormat/>
    <w:rPr>
      <w:rFonts w:ascii="宋体" w:hAnsi="Courier New"/>
      <w:szCs w:val="21"/>
    </w:rPr>
  </w:style>
  <w:style w:type="paragraph" w:styleId="1441"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442" w:customStyle="1">
    <w:name w:val="纯文本 Char_0_0"/>
    <w:link w:val="1440"/>
    <w:uiPriority w:val="0"/>
    <w:qFormat/>
    <w:rPr>
      <w:rFonts w:ascii="宋体" w:hAnsi="Courier New"/>
      <w:sz w:val="21"/>
      <w:szCs w:val="21"/>
    </w:rPr>
  </w:style>
  <w:style w:type="paragraph" w:styleId="1443" w:customStyle="1">
    <w:name w:val="Normal_15_0"/>
    <w:uiPriority w:val="0"/>
    <w:qFormat/>
    <w:rPr>
      <w:rFonts w:hint="default" w:ascii="黑体" w:hAnsi="黑体" w:eastAsia="黑体" w:cs="Times New Roman"/>
      <w:b/>
      <w:sz w:val="32"/>
      <w:szCs w:val="24"/>
      <w:lang w:val="en-US" w:eastAsia="zh-CN" w:bidi="ar-SA"/>
    </w:rPr>
  </w:style>
  <w:style w:type="paragraph" w:styleId="1444"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5" w:customStyle="1">
    <w:name w:val="Normal_16_0"/>
    <w:uiPriority w:val="0"/>
    <w:qFormat/>
    <w:rPr>
      <w:rFonts w:hint="default" w:ascii="黑体" w:hAnsi="黑体" w:eastAsia="黑体" w:cs="Times New Roman"/>
      <w:b/>
      <w:sz w:val="32"/>
      <w:szCs w:val="24"/>
      <w:lang w:val="en-US" w:eastAsia="zh-CN" w:bidi="ar-SA"/>
    </w:rPr>
  </w:style>
  <w:style w:type="paragraph" w:styleId="1446"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447"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8" w:customStyle="1">
    <w:name w:val="Normal_17_0"/>
    <w:uiPriority w:val="0"/>
    <w:qFormat/>
    <w:rPr>
      <w:rFonts w:hint="default" w:ascii="黑体" w:hAnsi="黑体" w:eastAsia="黑体" w:cs="Times New Roman"/>
      <w:b/>
      <w:sz w:val="32"/>
      <w:szCs w:val="24"/>
      <w:lang w:val="en-US" w:eastAsia="zh-CN" w:bidi="ar-SA"/>
    </w:rPr>
  </w:style>
  <w:style w:type="paragraph" w:styleId="1449"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0" w:customStyle="1">
    <w:name w:val="Normal_18_0"/>
    <w:uiPriority w:val="0"/>
    <w:qFormat/>
    <w:rPr>
      <w:rFonts w:hint="default" w:ascii="黑体" w:hAnsi="黑体" w:eastAsia="黑体" w:cs="Times New Roman"/>
      <w:b/>
      <w:sz w:val="32"/>
      <w:szCs w:val="24"/>
      <w:lang w:val="en-US" w:eastAsia="zh-CN" w:bidi="ar-SA"/>
    </w:rPr>
  </w:style>
  <w:style w:type="paragraph" w:styleId="1451"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2" w:customStyle="1">
    <w:name w:val="Normal_19_0"/>
    <w:basedOn w:val="1453"/>
    <w:next w:val="775"/>
    <w:uiPriority w:val="0"/>
    <w:qFormat/>
    <w:rPr>
      <w:rFonts w:ascii="黑体" w:hAnsi="黑体" w:eastAsia="黑体"/>
      <w:b/>
      <w:sz w:val="32"/>
    </w:rPr>
  </w:style>
  <w:style w:type="paragraph" w:styleId="1453" w:customStyle="1">
    <w:name w:val="Normal"/>
    <w:next w:val="1454"/>
    <w:uiPriority w:val="0"/>
    <w:qFormat/>
    <w:pPr>
      <w:jc w:val="both"/>
      <w:widowControl w:val="off"/>
    </w:pPr>
    <w:rPr>
      <w:rFonts w:hint="default" w:ascii="Calibri" w:hAnsi="Calibri" w:eastAsia="宋体" w:cs="Times New Roman"/>
      <w:sz w:val="21"/>
      <w:szCs w:val="22"/>
      <w:lang w:val="en-US" w:eastAsia="zh-CN" w:bidi="ar-SA"/>
    </w:rPr>
  </w:style>
  <w:style w:type="paragraph" w:styleId="1454" w:customStyle="1">
    <w:name w:val="Heading 3"/>
    <w:basedOn w:val="1455"/>
    <w:next w:val="1453"/>
    <w:uiPriority w:val="0"/>
    <w:qFormat/>
    <w:pPr>
      <w:keepLines/>
      <w:keepNext/>
      <w:spacing w:before="260" w:after="260" w:line="413" w:lineRule="auto"/>
      <w:outlineLvl w:val="2"/>
    </w:pPr>
    <w:rPr>
      <w:b/>
      <w:sz w:val="32"/>
      <w:szCs w:val="20"/>
    </w:rPr>
  </w:style>
  <w:style w:type="paragraph" w:styleId="1455" w:customStyle="1">
    <w:name w:val="正文3"/>
    <w:next w:val="1454"/>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456" w:customStyle="1">
    <w:name w:val="Body Text First Indent_1_0"/>
    <w:basedOn w:val="1452"/>
    <w:uiPriority w:val="0"/>
    <w:qFormat/>
    <w:pPr>
      <w:ind w:firstLine="100"/>
      <w:spacing w:after="120"/>
    </w:pPr>
  </w:style>
  <w:style w:type="paragraph" w:styleId="1457" w:customStyle="1">
    <w:name w:val="Body Text_0"/>
    <w:basedOn w:val="1452"/>
    <w:uiPriority w:val="99"/>
    <w:unhideWhenUsed/>
    <w:qFormat/>
    <w:pPr>
      <w:spacing w:after="120"/>
    </w:pPr>
    <w:rPr>
      <w:rFonts w:ascii="Calibri" w:hAnsi="Calibri"/>
      <w:sz w:val="20"/>
    </w:rPr>
  </w:style>
  <w:style w:type="paragraph" w:styleId="1458"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459"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60" w:customStyle="1">
    <w:name w:val="Normal_14_0_0"/>
    <w:uiPriority w:val="0"/>
    <w:qFormat/>
    <w:rPr>
      <w:rFonts w:hint="default" w:ascii="黑体" w:hAnsi="黑体" w:eastAsia="黑体" w:cs="Times New Roman"/>
      <w:b/>
      <w:sz w:val="32"/>
      <w:szCs w:val="24"/>
      <w:lang w:val="en-US" w:eastAsia="zh-CN" w:bidi="ar-SA"/>
    </w:rPr>
  </w:style>
  <w:style w:type="paragraph" w:styleId="1461"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62" w:customStyle="1">
    <w:name w:val="Normal_20"/>
    <w:next w:val="1463"/>
    <w:uiPriority w:val="0"/>
    <w:qFormat/>
    <w:rPr>
      <w:rFonts w:hint="default" w:ascii="黑体" w:hAnsi="黑体" w:eastAsia="黑体" w:cs="Times New Roman"/>
      <w:b/>
      <w:sz w:val="32"/>
      <w:szCs w:val="24"/>
      <w:lang w:val="en-US" w:eastAsia="zh-CN" w:bidi="ar-SA"/>
    </w:rPr>
  </w:style>
  <w:style w:type="paragraph" w:styleId="1463" w:customStyle="1">
    <w:name w:val="Heading 3_0"/>
    <w:basedOn w:val="1462"/>
    <w:next w:val="1462"/>
    <w:uiPriority w:val="0"/>
    <w:qFormat/>
    <w:pPr>
      <w:keepLines/>
      <w:keepNext/>
      <w:spacing w:before="260" w:after="260" w:line="413" w:lineRule="auto"/>
      <w:outlineLvl w:val="2"/>
    </w:pPr>
    <w:rPr>
      <w:rFonts w:ascii="Times New Roman" w:hAnsi="Times New Roman" w:eastAsia="Times New Roman"/>
      <w:szCs w:val="20"/>
    </w:rPr>
  </w:style>
  <w:style w:type="paragraph" w:styleId="1464" w:customStyle="1">
    <w:name w:val="Body Text First Indent 2_0"/>
    <w:basedOn w:val="1465"/>
    <w:next w:val="1462"/>
    <w:uiPriority w:val="0"/>
    <w:qFormat/>
    <w:pPr>
      <w:ind w:left="200" w:firstLine="200"/>
      <w:spacing w:after="120"/>
    </w:pPr>
    <w:rPr>
      <w:rFonts w:ascii="Times New Roman" w:hAnsi="Times New Roman" w:eastAsia="Times New Roman"/>
      <w:sz w:val="24"/>
      <w:szCs w:val="24"/>
    </w:rPr>
  </w:style>
  <w:style w:type="paragraph" w:styleId="1465" w:customStyle="1">
    <w:name w:val="Body Text Indent_0"/>
    <w:basedOn w:val="1462"/>
    <w:next w:val="1462"/>
    <w:uiPriority w:val="0"/>
    <w:qFormat/>
    <w:pPr>
      <w:ind w:firstLine="225"/>
    </w:pPr>
    <w:rPr>
      <w:rFonts w:ascii="仿宋_GB2312" w:eastAsia="仿宋_GB2312"/>
      <w:sz w:val="32"/>
    </w:rPr>
  </w:style>
  <w:style w:type="paragraph" w:styleId="1466" w:customStyle="1">
    <w:name w:val="正文文本首行缩进 22"/>
    <w:basedOn w:val="1467"/>
    <w:uiPriority w:val="0"/>
    <w:qFormat/>
    <w:pPr>
      <w:ind w:left="200" w:firstLine="200"/>
      <w:spacing w:after="120"/>
    </w:pPr>
    <w:rPr>
      <w:rFonts w:ascii="Times New Roman" w:hAnsi="Times New Roman"/>
      <w:sz w:val="24"/>
    </w:rPr>
  </w:style>
  <w:style w:type="paragraph" w:styleId="1467" w:customStyle="1">
    <w:name w:val="正文文本缩进2"/>
    <w:basedOn w:val="1462"/>
    <w:uiPriority w:val="0"/>
    <w:qFormat/>
    <w:pPr>
      <w:ind w:firstLine="225"/>
    </w:pPr>
    <w:rPr>
      <w:rFonts w:ascii="仿宋_GB2312" w:eastAsia="仿宋_GB2312"/>
    </w:rPr>
  </w:style>
  <w:style w:type="paragraph" w:styleId="1468"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6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470" w:customStyle="1">
    <w:name w:val="Normal_21"/>
    <w:uiPriority w:val="0"/>
    <w:qFormat/>
    <w:rPr>
      <w:rFonts w:hint="default" w:ascii="黑体" w:hAnsi="黑体" w:eastAsia="黑体" w:cs="Times New Roman"/>
      <w:b/>
      <w:sz w:val="32"/>
      <w:szCs w:val="24"/>
      <w:lang w:val="en-US" w:eastAsia="zh-CN" w:bidi="ar-SA"/>
    </w:rPr>
  </w:style>
  <w:style w:type="paragraph" w:styleId="147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47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73" w:customStyle="1">
    <w:name w:val="Normal_0_3"/>
    <w:uiPriority w:val="0"/>
    <w:qFormat/>
    <w:rPr>
      <w:rFonts w:hint="default" w:ascii="黑体" w:hAnsi="黑体" w:eastAsia="黑体" w:cs="Times New Roman"/>
      <w:b/>
      <w:sz w:val="32"/>
      <w:szCs w:val="24"/>
      <w:lang w:val="en-US" w:eastAsia="zh-CN" w:bidi="ar-SA"/>
    </w:rPr>
  </w:style>
  <w:style w:type="paragraph" w:styleId="1474"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475" w:customStyle="1">
    <w:name w:val="正文1_1_0"/>
    <w:next w:val="1476"/>
    <w:uiPriority w:val="0"/>
    <w:qFormat/>
    <w:rPr>
      <w:rFonts w:hint="default" w:ascii="Times New Roman" w:hAnsi="Times New Roman" w:eastAsia="Times New Roman" w:cs="Times New Roman"/>
      <w:sz w:val="24"/>
      <w:szCs w:val="24"/>
      <w:lang w:val="en-US" w:eastAsia="zh-CN" w:bidi="ar-SA"/>
    </w:rPr>
  </w:style>
  <w:style w:type="paragraph" w:styleId="1476" w:customStyle="1">
    <w:name w:val="UserStyle_0_0"/>
    <w:basedOn w:val="1477"/>
    <w:uiPriority w:val="0"/>
    <w:qFormat/>
    <w:pPr>
      <w:ind w:left="420"/>
      <w:spacing w:after="120"/>
    </w:pPr>
    <w:rPr>
      <w:rFonts w:ascii="Calibri" w:hAnsi="Calibri" w:eastAsia="Times New Roman"/>
    </w:rPr>
  </w:style>
  <w:style w:type="paragraph" w:styleId="1477" w:customStyle="1">
    <w:name w:val="正文1_0_0_0"/>
    <w:basedOn w:val="1478"/>
    <w:uiPriority w:val="0"/>
    <w:qFormat/>
    <w:pPr>
      <w:ind w:left="357" w:firstLine="420"/>
      <w:jc w:val="left"/>
      <w:spacing w:line="360" w:lineRule="auto"/>
      <w:widowControl/>
    </w:pPr>
    <w:rPr>
      <w:rFonts w:cs="Arial"/>
      <w:szCs w:val="20"/>
      <w:lang w:bidi="ar-SA"/>
    </w:rPr>
  </w:style>
  <w:style w:type="paragraph" w:styleId="1478" w:customStyle="1">
    <w:name w:val="正文_2_0_1"/>
    <w:next w:val="147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79" w:customStyle="1">
    <w:name w:val="标题 1_0"/>
    <w:basedOn w:val="1410"/>
    <w:next w:val="1474"/>
    <w:uiPriority w:val="0"/>
    <w:qFormat/>
    <w:pPr>
      <w:keepLines/>
      <w:keepNext/>
      <w:spacing w:before="340" w:after="330" w:line="576" w:lineRule="auto"/>
      <w:outlineLvl w:val="0"/>
    </w:pPr>
    <w:rPr>
      <w:rFonts w:ascii="Times New Roman" w:hAnsi="Times New Roman"/>
      <w:b/>
      <w:sz w:val="44"/>
      <w:szCs w:val="20"/>
    </w:rPr>
  </w:style>
  <w:style w:type="paragraph" w:styleId="1480" w:customStyle="1">
    <w:name w:val="正文缩进1"/>
    <w:basedOn w:val="775"/>
    <w:uiPriority w:val="0"/>
    <w:qFormat/>
    <w:pPr>
      <w:ind w:firstLine="420"/>
      <w:jc w:val="left"/>
    </w:pPr>
    <w:rPr>
      <w:rFonts w:ascii="宋体"/>
      <w:sz w:val="24"/>
    </w:rPr>
  </w:style>
  <w:style w:type="paragraph" w:styleId="1481" w:customStyle="1">
    <w:name w:val="索引 11"/>
    <w:basedOn w:val="775"/>
    <w:next w:val="775"/>
    <w:uiPriority w:val="0"/>
    <w:qFormat/>
    <w:pPr>
      <w:spacing w:line="360" w:lineRule="auto"/>
    </w:pPr>
    <w:rPr>
      <w:rFonts w:ascii="仿宋_GB2312" w:eastAsia="仿宋_GB2312"/>
      <w:sz w:val="24"/>
      <w:szCs w:val="20"/>
    </w:rPr>
  </w:style>
  <w:style w:type="paragraph" w:styleId="1482" w:customStyle="1">
    <w:name w:val="纯文本1"/>
    <w:basedOn w:val="1405"/>
    <w:uiPriority w:val="0"/>
    <w:qFormat/>
    <w:rPr>
      <w:rFonts w:ascii="宋体" w:hAnsi="Courier New"/>
    </w:rPr>
  </w:style>
  <w:style w:type="paragraph" w:styleId="1483" w:customStyle="1">
    <w:name w:val="Normal_20_0_0"/>
    <w:next w:val="775"/>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484"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485" w:customStyle="1">
    <w:name w:val="正文缩进1_0"/>
    <w:basedOn w:val="1484"/>
    <w:link w:val="1486"/>
    <w:uiPriority w:val="0"/>
    <w:qFormat/>
    <w:pPr>
      <w:ind w:firstLine="420"/>
      <w:jc w:val="left"/>
    </w:pPr>
    <w:rPr>
      <w:rFonts w:ascii="宋体" w:hAnsi="Calibri" w:eastAsia="Times New Roman"/>
      <w:sz w:val="24"/>
      <w:szCs w:val="22"/>
    </w:rPr>
  </w:style>
  <w:style w:type="character" w:styleId="1486" w:customStyle="1">
    <w:name w:val="正文缩进 Char1_1"/>
    <w:link w:val="1485"/>
    <w:uiPriority w:val="0"/>
    <w:qFormat/>
    <w:rPr>
      <w:rFonts w:ascii="宋体" w:hAnsi="Calibri" w:eastAsia="Times New Roman"/>
      <w:sz w:val="24"/>
      <w:szCs w:val="22"/>
    </w:rPr>
  </w:style>
  <w:style w:type="paragraph" w:styleId="1487" w:customStyle="1">
    <w:name w:val="无间隔1_0"/>
    <w:basedOn w:val="1488"/>
    <w:uiPriority w:val="1"/>
    <w:qFormat/>
    <w:pPr>
      <w:jc w:val="both"/>
      <w:widowControl w:val="off"/>
    </w:pPr>
    <w:rPr>
      <w:rFonts w:hint="default" w:ascii="Times New Roman" w:hAnsi="Times New Roman" w:eastAsia="宋体" w:cs="Times New Roman"/>
      <w:szCs w:val="24"/>
      <w:lang w:val="en-US" w:eastAsia="zh-CN" w:bidi="ar-SA"/>
    </w:rPr>
  </w:style>
  <w:style w:type="paragraph" w:styleId="1488" w:customStyle="1">
    <w:name w:val="正文_17_0_0"/>
    <w:next w:val="1489"/>
    <w:uiPriority w:val="0"/>
    <w:qFormat/>
    <w:pPr>
      <w:jc w:val="both"/>
      <w:widowControl w:val="off"/>
    </w:pPr>
    <w:rPr>
      <w:rFonts w:ascii="Calibri" w:hAnsi="Calibri" w:eastAsia="宋体" w:cs="Times New Roman"/>
      <w:sz w:val="21"/>
      <w:szCs w:val="22"/>
      <w:lang w:val="en-US" w:eastAsia="zh-CN" w:bidi="ar-SA"/>
    </w:rPr>
  </w:style>
  <w:style w:type="paragraph" w:styleId="1489" w:customStyle="1">
    <w:name w:val="标题 3_1_0"/>
    <w:basedOn w:val="1488"/>
    <w:next w:val="1488"/>
    <w:uiPriority w:val="0"/>
    <w:qFormat/>
    <w:pPr>
      <w:keepLines/>
      <w:keepNext/>
      <w:spacing w:before="260" w:after="260" w:line="413" w:lineRule="auto"/>
      <w:outlineLvl w:val="2"/>
    </w:pPr>
    <w:rPr>
      <w:rFonts w:ascii="Times New Roman" w:hAnsi="Times New Roman"/>
      <w:b/>
      <w:sz w:val="32"/>
      <w:szCs w:val="20"/>
    </w:rPr>
  </w:style>
  <w:style w:type="paragraph" w:styleId="1490"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91" w:customStyle="1">
    <w:name w:val="未处理的提及1"/>
    <w:uiPriority w:val="99"/>
    <w:unhideWhenUsed/>
    <w:qFormat/>
    <w:rPr>
      <w:color w:val="605e5c"/>
      <w:shd w:val="clear" w:color="auto" w:fill="e1dfdd"/>
    </w:rPr>
  </w:style>
  <w:style w:type="character" w:styleId="1492" w:customStyle="1">
    <w:name w:val="未处理的提及2"/>
    <w:uiPriority w:val="99"/>
    <w:unhideWhenUsed/>
    <w:qFormat/>
    <w:rPr>
      <w:color w:val="605e5c"/>
      <w:shd w:val="clear" w:color="auto" w:fill="e1dfdd"/>
    </w:rPr>
  </w:style>
  <w:style w:type="paragraph" w:styleId="1493"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9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95" w:customStyle="1">
    <w:name w:val="10"/>
    <w:uiPriority w:val="0"/>
    <w:qFormat/>
    <w:rPr>
      <w:rFonts w:ascii="Times New Roman" w:hAnsi="Times New Roman" w:cs="Times New Roman"/>
    </w:rPr>
  </w:style>
  <w:style w:type="paragraph" w:styleId="1496" w:customStyle="1">
    <w:name w:val="正文文本2"/>
    <w:basedOn w:val="1470"/>
    <w:uiPriority w:val="1"/>
    <w:qFormat/>
    <w:rPr>
      <w:rFonts w:ascii="Segoe UI" w:hAnsi="Segoe UI" w:cs="Segoe UI"/>
    </w:rPr>
  </w:style>
  <w:style w:type="paragraph" w:styleId="1497"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98"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99" w:customStyle="1">
    <w:name w:val="Normal_19_0_1"/>
    <w:uiPriority w:val="0"/>
    <w:qFormat/>
    <w:rPr>
      <w:rFonts w:hint="default" w:ascii="Tahoma" w:hAnsi="Tahoma" w:eastAsia="微软雅黑" w:cs="Times New Roman"/>
      <w:lang w:val="en-US" w:eastAsia="zh-CN" w:bidi="ar-SA"/>
    </w:rPr>
  </w:style>
  <w:style w:type="paragraph" w:styleId="1500" w:customStyle="1">
    <w:name w:val="正文_16_0_0_0"/>
    <w:basedOn w:val="834"/>
    <w:uiPriority w:val="0"/>
    <w:qFormat/>
    <w:rPr>
      <w:rFonts w:ascii="Calibri" w:hAnsi="Calibri" w:cs="Calibri"/>
      <w:szCs w:val="21"/>
    </w:rPr>
  </w:style>
  <w:style w:type="character" w:styleId="1501" w:customStyle="1">
    <w:name w:val="15"/>
    <w:uiPriority w:val="0"/>
    <w:qFormat/>
    <w:rPr>
      <w:rFonts w:ascii="Times New Roman" w:hAnsi="Times New Roman" w:cs="Times New Roman"/>
      <w:color w:val="0000ff"/>
      <w:u w:val="single"/>
    </w:rPr>
  </w:style>
  <w:style w:type="character" w:styleId="1502" w:customStyle="1">
    <w:name w:val="16_0"/>
    <w:uiPriority w:val="0"/>
    <w:qFormat/>
    <w:rPr>
      <w:rFonts w:ascii="Times New Roman" w:hAnsi="Times New Roman" w:cs="Times New Roman"/>
    </w:rPr>
  </w:style>
  <w:style w:type="paragraph" w:styleId="1503"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04" w:customStyle="1">
    <w:name w:val="正文空2字"/>
    <w:basedOn w:val="775"/>
    <w:uiPriority w:val="99"/>
    <w:qFormat/>
    <w:pPr>
      <w:ind w:firstLine="640"/>
      <w:jc w:val="left"/>
      <w:spacing w:line="560" w:lineRule="exact"/>
    </w:pPr>
    <w:rPr>
      <w:rFonts w:ascii="仿宋_GB2312" w:hAnsi="仿宋_GB2312" w:eastAsia="仿宋_GB2312" w:cs="仿宋_GB2312"/>
      <w:sz w:val="32"/>
      <w:szCs w:val="32"/>
      <w:lang w:val="zh-TW"/>
    </w:rPr>
  </w:style>
  <w:style w:type="character" w:styleId="1505" w:customStyle="1">
    <w:name w:val="未处理的提及3"/>
    <w:uiPriority w:val="99"/>
    <w:unhideWhenUsed/>
    <w:qFormat/>
    <w:rPr>
      <w:color w:val="605e5c"/>
      <w:shd w:val="clear" w:color="auto" w:fill="e1dfdd"/>
    </w:rPr>
  </w:style>
  <w:style w:type="character" w:styleId="1506" w:customStyle="1">
    <w:name w:val="正文文本首行缩进 2 字符1"/>
    <w:uiPriority w:val="99"/>
    <w:semiHidden/>
    <w:qFormat/>
    <w:rPr>
      <w:rFonts w:ascii="Calibri" w:hAnsi="Calibri"/>
      <w:sz w:val="21"/>
      <w:szCs w:val="22"/>
    </w:rPr>
  </w:style>
  <w:style w:type="paragraph" w:styleId="1507"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508" w:customStyle="1">
    <w:name w:val="正文_12_0_0_0_0"/>
    <w:basedOn w:val="775"/>
    <w:uiPriority w:val="0"/>
    <w:qFormat/>
    <w:rPr>
      <w:rFonts w:ascii="Times New Roman" w:hAnsi="Times New Roman"/>
      <w:szCs w:val="24"/>
    </w:rPr>
  </w:style>
  <w:style w:type="paragraph" w:styleId="150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510" w:customStyle="1">
    <w:name w:val="custom-tag-placeholder-class"/>
    <w:uiPriority w:val="0"/>
    <w:qFormat/>
  </w:style>
  <w:style w:type="paragraph" w:styleId="1511" w:customStyle="1">
    <w:name w:val="正文缩进_1_0_0"/>
    <w:basedOn w:val="1478"/>
    <w:uiPriority w:val="0"/>
    <w:qFormat/>
    <w:pPr>
      <w:ind w:firstLine="420"/>
    </w:pPr>
    <w:rPr>
      <w:rFonts w:ascii="宋体"/>
      <w:color w:val="000000"/>
      <w:sz w:val="24"/>
      <w:szCs w:val="20"/>
    </w:rPr>
  </w:style>
  <w:style w:type="paragraph" w:styleId="1512"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513" w:customStyle="1">
    <w:name w:val="正文_16_0_0"/>
    <w:next w:val="1484"/>
    <w:uiPriority w:val="0"/>
    <w:qFormat/>
    <w:pPr>
      <w:jc w:val="both"/>
      <w:widowControl w:val="off"/>
    </w:pPr>
    <w:rPr>
      <w:rFonts w:hint="default" w:ascii="Calibri" w:hAnsi="Calibri" w:eastAsia="宋体" w:cs="Times New Roman"/>
      <w:sz w:val="21"/>
      <w:szCs w:val="22"/>
      <w:lang w:val="en-US" w:eastAsia="zh-CN" w:bidi="ar-SA"/>
    </w:rPr>
  </w:style>
  <w:style w:type="character" w:styleId="1514" w:customStyle="1">
    <w:name w:val="批注框文本 字符"/>
    <w:basedOn w:val="785"/>
    <w:link w:val="797"/>
    <w:uiPriority w:val="99"/>
    <w:semiHidden/>
    <w:qFormat/>
    <w:rPr>
      <w:rFonts w:ascii="宋体" w:hAnsi="Calibri"/>
      <w:sz w:val="18"/>
      <w:szCs w:val="18"/>
    </w:rPr>
  </w:style>
  <w:style w:type="character" w:styleId="1515" w:customStyle="1">
    <w:name w:val="标题 1 字符2"/>
    <w:link w:val="776"/>
    <w:uiPriority w:val="9"/>
    <w:qFormat/>
    <w:rPr>
      <w:rFonts w:ascii="Arial" w:hAnsi="Arial" w:eastAsia="Arial" w:cs="Arial"/>
      <w:sz w:val="40"/>
      <w:szCs w:val="40"/>
    </w:rPr>
  </w:style>
  <w:style w:type="paragraph" w:styleId="1516" w:customStyle="1">
    <w:name w:val="Normal_19_0_0"/>
    <w:basedOn w:val="1462"/>
    <w:next w:val="775"/>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517" w:customStyle="1">
    <w:name w:val="Body Text_0_0"/>
    <w:basedOn w:val="1516"/>
    <w:uiPriority w:val="99"/>
    <w:unhideWhenUsed/>
    <w:qFormat/>
    <w:pPr>
      <w:spacing w:after="120"/>
    </w:pPr>
    <w:rPr>
      <w:sz w:val="20"/>
    </w:rPr>
  </w:style>
  <w:style w:type="paragraph" w:styleId="1518" w:customStyle="1">
    <w:name w:val="*正文"/>
    <w:basedOn w:val="775"/>
    <w:uiPriority w:val="0"/>
    <w:qFormat/>
    <w:pPr>
      <w:ind w:firstLine="560"/>
      <w:spacing w:line="360" w:lineRule="auto"/>
    </w:pPr>
    <w:rPr>
      <w:rFonts w:ascii="方正仿宋_GB2312" w:hAnsi="Times New Roman" w:eastAsia="方正仿宋_GB2312"/>
      <w:sz w:val="28"/>
      <w:szCs w:val="28"/>
    </w:rPr>
  </w:style>
  <w:style w:type="paragraph" w:styleId="1519" w:customStyle="1">
    <w:name w:val="Normal_21_0"/>
    <w:next w:val="7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2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521" w:customStyle="1">
    <w:name w:val="p17_0_0"/>
    <w:basedOn w:val="1452"/>
    <w:uiPriority w:val="0"/>
    <w:qFormat/>
    <w:pPr>
      <w:spacing w:before="100" w:beforeAutospacing="1" w:after="100" w:afterAutospacing="1"/>
    </w:pPr>
    <w:rPr>
      <w:rFonts w:ascii="宋体" w:hAnsi="宋体" w:eastAsia="Times New Roman" w:cs="宋体"/>
      <w:sz w:val="24"/>
    </w:rPr>
  </w:style>
  <w:style w:type="character" w:styleId="1522" w:customStyle="1">
    <w:name w:val="列出段落 Char"/>
    <w:link w:val="1290"/>
    <w:uiPriority w:val="0"/>
    <w:qFormat/>
    <w:rPr>
      <w:rFonts w:ascii="Calibri" w:hAnsi="Calibri"/>
      <w:sz w:val="21"/>
      <w:szCs w:val="22"/>
    </w:rPr>
  </w:style>
  <w:style w:type="paragraph" w:styleId="1523" w:customStyle="1">
    <w:name w:val="标题二、"/>
    <w:basedOn w:val="775"/>
    <w:uiPriority w:val="99"/>
    <w:qFormat/>
    <w:pPr>
      <w:ind w:firstLine="200"/>
      <w:spacing w:line="360" w:lineRule="auto"/>
      <w:outlineLvl w:val="2"/>
    </w:pPr>
    <w:rPr>
      <w:rFonts w:ascii="宋体" w:hAnsi="宋体"/>
      <w:b/>
      <w:szCs w:val="21"/>
    </w:rPr>
  </w:style>
  <w:style w:type="table" w:styleId="1524" w:customStyle="1">
    <w:name w:val="Table Normal"/>
    <w:uiPriority w:val="0"/>
    <w:unhideWhenUsed/>
    <w:qFormat/>
    <w:tblPr>
      <w:tblCellMar>
        <w:left w:w="0" w:type="dxa"/>
        <w:top w:w="0" w:type="dxa"/>
        <w:right w:w="0" w:type="dxa"/>
        <w:bottom w:w="0" w:type="dxa"/>
      </w:tblCellMar>
    </w:tblPr>
  </w:style>
  <w:style w:type="paragraph" w:styleId="1525" w:customStyle="1">
    <w:name w:val="Normal_19_3"/>
    <w:next w:val="1526"/>
    <w:uiPriority w:val="0"/>
    <w:qFormat/>
    <w:pPr>
      <w:jc w:val="both"/>
      <w:widowControl w:val="off"/>
    </w:pPr>
    <w:rPr>
      <w:rFonts w:hint="default" w:ascii="Calibri" w:hAnsi="Calibri" w:eastAsia="Times New Roman" w:cs="Times New Roman"/>
      <w:szCs w:val="24"/>
      <w:lang w:val="en-US" w:eastAsia="zh-CN" w:bidi="ar-SA"/>
    </w:rPr>
  </w:style>
  <w:style w:type="paragraph" w:styleId="1526"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527" w:customStyle="1">
    <w:name w:val="Body Text"/>
    <w:basedOn w:val="832"/>
    <w:uiPriority w:val="0"/>
    <w:qFormat/>
    <w:pPr>
      <w:spacing w:line="60" w:lineRule="auto"/>
    </w:pPr>
    <w:rPr>
      <w:rFonts w:ascii="仿宋_GB2312" w:eastAsia="仿宋_GB2312"/>
      <w:sz w:val="32"/>
      <w:szCs w:val="22"/>
    </w:rPr>
  </w:style>
  <w:style w:type="paragraph" w:styleId="1528" w:customStyle="1">
    <w:name w:val="List Paragraph_0"/>
    <w:basedOn w:val="1410"/>
    <w:uiPriority w:val="0"/>
    <w:qFormat/>
    <w:pPr>
      <w:ind w:firstLine="420"/>
    </w:pPr>
  </w:style>
  <w:style w:type="paragraph" w:styleId="1529"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530" w:customStyle="1">
    <w:name w:val="正文_7_1"/>
    <w:uiPriority w:val="0"/>
    <w:qFormat/>
    <w:pPr>
      <w:jc w:val="both"/>
      <w:widowControl w:val="off"/>
    </w:pPr>
    <w:rPr>
      <w:rFonts w:hint="default" w:ascii="Calibri" w:hAnsi="Calibri" w:eastAsia="宋体" w:cs="Times New Roman"/>
      <w:lang w:val="en-US" w:eastAsia="zh-CN" w:bidi="ar-SA"/>
    </w:rPr>
  </w:style>
  <w:style w:type="paragraph" w:styleId="1531"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532"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533" w:customStyle="1">
    <w:name w:val="Normal_17_0_0"/>
    <w:uiPriority w:val="0"/>
    <w:qFormat/>
    <w:rPr>
      <w:rFonts w:hint="default" w:ascii="黑体" w:hAnsi="黑体" w:eastAsia="黑体" w:cs="Times New Roman"/>
      <w:b/>
      <w:sz w:val="32"/>
      <w:szCs w:val="24"/>
      <w:lang w:val="en-US" w:eastAsia="zh-CN" w:bidi="ar-SA"/>
    </w:rPr>
  </w:style>
  <w:style w:type="paragraph" w:styleId="1534"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35"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536" w:customStyle="1">
    <w:name w:val="正文文本缩进_0_0"/>
    <w:basedOn w:val="1537"/>
    <w:uiPriority w:val="0"/>
    <w:qFormat/>
    <w:pPr>
      <w:ind w:firstLine="225"/>
    </w:pPr>
    <w:rPr>
      <w:rFonts w:ascii="仿宋_GB2312" w:hAnsi="Calibri" w:eastAsia="仿宋_GB2312"/>
      <w:sz w:val="32"/>
    </w:rPr>
  </w:style>
  <w:style w:type="paragraph" w:styleId="1537" w:customStyle="1">
    <w:name w:val="正文_2_1"/>
    <w:uiPriority w:val="0"/>
    <w:qFormat/>
    <w:pPr>
      <w:jc w:val="both"/>
      <w:widowControl w:val="off"/>
    </w:pPr>
    <w:rPr>
      <w:rFonts w:hint="default" w:ascii="Calibri" w:hAnsi="Calibri" w:eastAsia="宋体" w:cs="Times New Roman"/>
      <w:sz w:val="21"/>
      <w:szCs w:val="22"/>
      <w:lang w:val="en-US" w:eastAsia="zh-CN" w:bidi="ar-SA"/>
    </w:rPr>
  </w:style>
  <w:style w:type="paragraph" w:styleId="1538" w:customStyle="1">
    <w:name w:val="正文文本缩进_1_0_0_0"/>
    <w:basedOn w:val="1539"/>
    <w:uiPriority w:val="0"/>
    <w:qFormat/>
    <w:pPr>
      <w:ind w:firstLine="225"/>
    </w:pPr>
    <w:rPr>
      <w:rFonts w:ascii="仿宋_GB2312" w:hAnsi="Calibri" w:eastAsia="仿宋_GB2312"/>
      <w:sz w:val="32"/>
    </w:rPr>
  </w:style>
  <w:style w:type="paragraph" w:styleId="1539" w:customStyle="1">
    <w:name w:val="正文_3_1_0_0"/>
    <w:next w:val="1538"/>
    <w:uiPriority w:val="0"/>
    <w:qFormat/>
    <w:pPr>
      <w:jc w:val="both"/>
      <w:widowControl w:val="off"/>
    </w:pPr>
    <w:rPr>
      <w:rFonts w:hint="default" w:ascii="Calibri" w:hAnsi="Calibri" w:eastAsia="宋体" w:cs="Times New Roman"/>
      <w:sz w:val="21"/>
      <w:szCs w:val="22"/>
      <w:lang w:val="en-US" w:eastAsia="zh-CN" w:bidi="ar-SA"/>
    </w:rPr>
  </w:style>
  <w:style w:type="paragraph" w:styleId="1540" w:customStyle="1">
    <w:name w:val="正文文本缩进_1_0_0_1"/>
    <w:basedOn w:val="1541"/>
    <w:uiPriority w:val="0"/>
    <w:qFormat/>
    <w:pPr>
      <w:ind w:firstLine="225"/>
    </w:pPr>
    <w:rPr>
      <w:rFonts w:ascii="仿宋_GB2312" w:hAnsi="Calibri" w:eastAsia="仿宋_GB2312"/>
      <w:sz w:val="32"/>
    </w:rPr>
  </w:style>
  <w:style w:type="paragraph" w:styleId="1541" w:customStyle="1">
    <w:name w:val="正文_3_1_0_1"/>
    <w:next w:val="154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542" w:customStyle="1">
    <w:name w:val="正文_2_2"/>
    <w:next w:val="140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543" w:customStyle="1">
    <w:name w:val="正文_2_0_0_0"/>
    <w:uiPriority w:val="0"/>
    <w:qFormat/>
    <w:pPr>
      <w:jc w:val="both"/>
      <w:widowControl w:val="off"/>
    </w:pPr>
    <w:rPr>
      <w:rFonts w:hint="default" w:ascii="Calibri" w:hAnsi="Calibri" w:eastAsia="宋体" w:cs="Times New Roman"/>
      <w:lang w:val="en-US" w:eastAsia="zh-CN" w:bidi="ar-SA"/>
    </w:rPr>
  </w:style>
  <w:style w:type="paragraph" w:styleId="1544" w:customStyle="1">
    <w:name w:val="正文文本缩进_1_0_0"/>
    <w:basedOn w:val="1545"/>
    <w:uiPriority w:val="0"/>
    <w:qFormat/>
    <w:pPr>
      <w:ind w:firstLine="225"/>
    </w:pPr>
    <w:rPr>
      <w:rFonts w:ascii="仿宋_GB2312" w:hAnsi="Calibri" w:eastAsia="仿宋_GB2312"/>
      <w:sz w:val="32"/>
    </w:rPr>
  </w:style>
  <w:style w:type="paragraph" w:styleId="1545" w:customStyle="1">
    <w:name w:val="正文_3_1_0"/>
    <w:next w:val="1544"/>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546" w:customStyle="1">
    <w:name w:val="layui-layer-tabnow"/>
    <w:basedOn w:val="785"/>
    <w:uiPriority w:val="0"/>
    <w:qFormat/>
    <w:rPr>
      <w:shd w:val="clear" w:color="auto" w:fill="ffffff"/>
    </w:rPr>
  </w:style>
  <w:style w:type="character" w:styleId="1547" w:customStyle="1">
    <w:name w:val="first-child"/>
    <w:basedOn w:val="785"/>
    <w:uiPriority w:val="0"/>
    <w:qFormat/>
  </w:style>
  <w:style w:type="character" w:styleId="1548" w:customStyle="1">
    <w:name w:val="old"/>
    <w:basedOn w:val="785"/>
    <w:uiPriority w:val="0"/>
    <w:qFormat/>
    <w:rPr>
      <w:color w:val="999999"/>
    </w:rPr>
  </w:style>
  <w:style w:type="character" w:styleId="1549" w:customStyle="1">
    <w:name w:val="hover5"/>
    <w:basedOn w:val="785"/>
    <w:uiPriority w:val="0"/>
    <w:qFormat/>
    <w:rPr>
      <w:shd w:val="clear" w:color="auto" w:fill="eeeeee"/>
    </w:rPr>
  </w:style>
  <w:style w:type="character" w:styleId="1550" w:customStyle="1">
    <w:name w:val="hour_am"/>
    <w:basedOn w:val="785"/>
    <w:uiPriority w:val="0"/>
    <w:qFormat/>
  </w:style>
  <w:style w:type="character" w:styleId="1551" w:customStyle="1">
    <w:name w:val="hour_pm"/>
    <w:basedOn w:val="785"/>
    <w:uiPriority w:val="0"/>
    <w:qFormat/>
  </w:style>
  <w:style w:type="character" w:styleId="1552" w:customStyle="1">
    <w:name w:val="glyphicon"/>
    <w:basedOn w:val="785"/>
    <w:uiPriority w:val="0"/>
    <w:qFormat/>
  </w:style>
  <w:style w:type="paragraph" w:styleId="1553" w:customStyle="1">
    <w:name w:val="正文文本首行缩进_0"/>
    <w:basedOn w:val="775"/>
    <w:uiPriority w:val="0"/>
    <w:unhideWhenUsed/>
    <w:qFormat/>
    <w:pPr>
      <w:ind w:firstLine="420"/>
      <w:spacing w:after="120"/>
    </w:pPr>
    <w:rPr>
      <w:rFonts w:ascii="Arial Unicode MS" w:hAnsi="Arial Unicode MS" w:eastAsia="Arial Unicode MS" w:cs="Arial Unicode MS"/>
      <w:sz w:val="28"/>
      <w:szCs w:val="20"/>
    </w:rPr>
  </w:style>
  <w:style w:type="character" w:styleId="1554" w:customStyle="1">
    <w:name w:val="10_0"/>
    <w:uiPriority w:val="0"/>
    <w:qFormat/>
    <w:rPr>
      <w:rFonts w:hint="default" w:ascii="Times New Roman" w:hAnsi="Times New Roman" w:cs="Times New Roman"/>
    </w:rPr>
  </w:style>
  <w:style w:type="paragraph" w:styleId="1555" w:customStyle="1">
    <w:name w:val="Normal_21_0_0_0"/>
    <w:uiPriority w:val="0"/>
    <w:qFormat/>
    <w:pPr>
      <w:jc w:val="both"/>
      <w:widowControl w:val="off"/>
    </w:pPr>
    <w:rPr>
      <w:rFonts w:hint="eastAsia" w:ascii="Calibri" w:hAnsi="Calibri" w:eastAsia="宋体" w:cs="Times New Roman"/>
      <w:szCs w:val="24"/>
      <w:lang w:val="en-US" w:eastAsia="zh-CN" w:bidi="ar-SA"/>
    </w:rPr>
  </w:style>
  <w:style w:type="paragraph" w:styleId="1556" w:customStyle="1">
    <w:name w:val="Normal_0_2_0_0"/>
    <w:uiPriority w:val="0"/>
    <w:qFormat/>
    <w:pPr>
      <w:jc w:val="both"/>
      <w:widowControl w:val="off"/>
    </w:pPr>
    <w:rPr>
      <w:rFonts w:ascii="Calibri" w:hAnsi="Calibri" w:eastAsia="宋体" w:cs="Times New Roman"/>
      <w:lang w:val="en-US" w:eastAsia="zh-CN" w:bidi="ar-SA"/>
    </w:rPr>
  </w:style>
  <w:style w:type="paragraph" w:styleId="1557" w:customStyle="1">
    <w:name w:val="Heading 5"/>
    <w:basedOn w:val="1415"/>
    <w:next w:val="1415"/>
    <w:uiPriority w:val="1"/>
    <w:qFormat/>
    <w:pPr>
      <w:ind w:left="951"/>
      <w:outlineLvl w:val="4"/>
    </w:pPr>
    <w:rPr>
      <w:rFonts w:ascii="宋体" w:hAnsi="宋体" w:eastAsia="宋体" w:cs="宋体"/>
      <w:bCs/>
      <w:sz w:val="24"/>
      <w:lang w:val="zh-CN" w:bidi="zh-CN"/>
    </w:rPr>
  </w:style>
  <w:style w:type="paragraph" w:styleId="1558" w:customStyle="1">
    <w:name w:val="Normal_21_0_0"/>
    <w:uiPriority w:val="0"/>
    <w:qFormat/>
    <w:pPr>
      <w:jc w:val="both"/>
      <w:widowControl w:val="off"/>
    </w:pPr>
    <w:rPr>
      <w:rFonts w:hint="eastAsia" w:ascii="Calibri" w:hAnsi="Calibri" w:eastAsia="宋体" w:cs="Times New Roman"/>
      <w:szCs w:val="24"/>
      <w:lang w:val="en-US" w:eastAsia="zh-CN" w:bidi="ar-SA"/>
    </w:rPr>
  </w:style>
  <w:style w:type="character" w:styleId="1559" w:customStyle="1">
    <w:name w:val="title text indent"/>
    <w:basedOn w:val="785"/>
    <w:uiPriority w:val="0"/>
    <w:qFormat/>
  </w:style>
  <w:style w:type="paragraph" w:styleId="1560" w:customStyle="1">
    <w:name w:val="左对齐正文"/>
    <w:uiPriority w:val="99"/>
    <w:qFormat/>
    <w:rPr>
      <w:rFonts w:hint="default" w:ascii="Calibri" w:hAnsi="Calibri" w:eastAsia="仿宋_GB2312" w:cs="Calibri"/>
      <w:sz w:val="32"/>
      <w:szCs w:val="32"/>
      <w:lang w:val="en-US" w:eastAsia="zh-CN" w:bidi="ar-SA"/>
    </w:rPr>
  </w:style>
  <w:style w:type="numbering" w:styleId="15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张美英</cp:lastModifiedBy>
  <cp:revision>927</cp:revision>
  <dcterms:created xsi:type="dcterms:W3CDTF">2024-08-01T09:01:00Z</dcterms:created>
  <dcterms:modified xsi:type="dcterms:W3CDTF">2025-12-17T01:09:01Z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031075D47A234522BE314CF4F205B250_13</vt:lpwstr>
  </property>
  <property fmtid="{D5CDD505-2E9C-101B-9397-08002B2CF9AE}" pid="4" name="KSOTemplateDocerSaveRecord">
    <vt:lpwstr>eyJoZGlkIjoiZmI3ODFmZWM0ODQ4N2Y5NzJmZTRmNGUwZGY2ZWE5MTIiLCJ1c2VySWQiOiI2MjY5NzY5NjkifQ==</vt:lpwstr>
  </property>
</Properties>
</file>